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22.07.2008 N 123-ФЗ</w:t>
              <w:br/>
              <w:t xml:space="preserve">(ред. от 25.12.2023)</w:t>
              <w:br/>
              <w:t xml:space="preserve">"Технический регламент о требованиях пожарной безопасности"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22 июля 2008 года</w:t>
            </w:r>
          </w:p>
        </w:tc>
        <w:tc>
          <w:tcPr>
            <w:tcW w:w="5103" w:type="dxa"/>
            <w:tcBorders>
              <w:top w:val="nil"/>
              <w:left w:val="nil"/>
              <w:bottom w:val="nil"/>
              <w:right w:val="nil"/>
            </w:tcBorders>
          </w:tcPr>
          <w:p>
            <w:pPr>
              <w:pStyle w:val="0"/>
              <w:outlineLvl w:val="0"/>
              <w:jc w:val="right"/>
            </w:pPr>
            <w:r>
              <w:rPr>
                <w:sz w:val="24"/>
              </w:rPr>
              <w:t xml:space="preserve">N 123-ФЗ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ТЕХНИЧЕСКИЙ РЕГЛАМЕНТ</w:t>
      </w:r>
    </w:p>
    <w:p>
      <w:pPr>
        <w:pStyle w:val="2"/>
        <w:jc w:val="center"/>
      </w:pPr>
      <w:r>
        <w:rPr>
          <w:sz w:val="24"/>
        </w:rPr>
        <w:t xml:space="preserve">О ТРЕБОВАНИЯХ ПОЖАРНОЙ БЕЗОПАСНОСТИ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июля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11 июля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10.07.2012 </w:t>
            </w:r>
            <w:r>
              <w:rPr>
                <w:sz w:val="24"/>
                <w:color w:val="392c69"/>
              </w:rPr>
              <w:t xml:space="preserve">N 117-ФЗ</w:t>
            </w:r>
            <w:r>
              <w:rPr>
                <w:sz w:val="24"/>
                <w:color w:val="392c69"/>
              </w:rPr>
              <w:t xml:space="preserve">,</w:t>
            </w:r>
          </w:p>
          <w:p>
            <w:pPr>
              <w:pStyle w:val="0"/>
              <w:jc w:val="center"/>
            </w:pPr>
            <w:r>
              <w:rPr>
                <w:sz w:val="24"/>
                <w:color w:val="392c69"/>
              </w:rPr>
              <w:t xml:space="preserve">от 02.07.2013 </w:t>
            </w:r>
            <w:r>
              <w:rPr>
                <w:sz w:val="24"/>
                <w:color w:val="392c69"/>
              </w:rPr>
              <w:t xml:space="preserve">N 185-ФЗ</w:t>
            </w:r>
            <w:r>
              <w:rPr>
                <w:sz w:val="24"/>
                <w:color w:val="392c69"/>
              </w:rPr>
              <w:t xml:space="preserve">, от 23.06.2014 </w:t>
            </w:r>
            <w:r>
              <w:rPr>
                <w:sz w:val="24"/>
                <w:color w:val="392c69"/>
              </w:rPr>
              <w:t xml:space="preserve">N 160-ФЗ</w:t>
            </w:r>
            <w:r>
              <w:rPr>
                <w:sz w:val="24"/>
                <w:color w:val="392c69"/>
              </w:rPr>
              <w:t xml:space="preserve">, от 13.07.2015 </w:t>
            </w:r>
            <w:r>
              <w:rPr>
                <w:sz w:val="24"/>
                <w:color w:val="392c69"/>
              </w:rPr>
              <w:t xml:space="preserve">N 234-ФЗ</w:t>
            </w:r>
            <w:r>
              <w:rPr>
                <w:sz w:val="24"/>
                <w:color w:val="392c69"/>
              </w:rPr>
              <w:t xml:space="preserve">,</w:t>
            </w:r>
          </w:p>
          <w:p>
            <w:pPr>
              <w:pStyle w:val="0"/>
              <w:jc w:val="center"/>
            </w:pPr>
            <w:r>
              <w:rPr>
                <w:sz w:val="24"/>
                <w:color w:val="392c69"/>
              </w:rPr>
              <w:t xml:space="preserve">от 03.07.2016 </w:t>
            </w:r>
            <w:r>
              <w:rPr>
                <w:sz w:val="24"/>
                <w:color w:val="392c69"/>
              </w:rPr>
              <w:t xml:space="preserve">N 301-ФЗ</w:t>
            </w:r>
            <w:r>
              <w:rPr>
                <w:sz w:val="24"/>
                <w:color w:val="392c69"/>
              </w:rPr>
              <w:t xml:space="preserve">, от 29.07.2017 </w:t>
            </w:r>
            <w:r>
              <w:rPr>
                <w:sz w:val="24"/>
                <w:color w:val="392c69"/>
              </w:rPr>
              <w:t xml:space="preserve">N 244-ФЗ</w:t>
            </w:r>
            <w:r>
              <w:rPr>
                <w:sz w:val="24"/>
                <w:color w:val="392c69"/>
              </w:rPr>
              <w:t xml:space="preserve">, от 27.12.2018 </w:t>
            </w:r>
            <w:r>
              <w:rPr>
                <w:sz w:val="24"/>
                <w:color w:val="392c69"/>
              </w:rPr>
              <w:t xml:space="preserve">N 538-ФЗ</w:t>
            </w:r>
            <w:r>
              <w:rPr>
                <w:sz w:val="24"/>
                <w:color w:val="392c69"/>
              </w:rPr>
              <w:t xml:space="preserve">,</w:t>
            </w:r>
          </w:p>
          <w:p>
            <w:pPr>
              <w:pStyle w:val="0"/>
              <w:jc w:val="center"/>
            </w:pPr>
            <w:r>
              <w:rPr>
                <w:sz w:val="24"/>
                <w:color w:val="392c69"/>
              </w:rPr>
              <w:t xml:space="preserve">от 30.04.2021 </w:t>
            </w:r>
            <w:r>
              <w:rPr>
                <w:sz w:val="24"/>
                <w:color w:val="392c69"/>
              </w:rPr>
              <w:t xml:space="preserve">N 117-ФЗ</w:t>
            </w:r>
            <w:r>
              <w:rPr>
                <w:sz w:val="24"/>
                <w:color w:val="392c69"/>
              </w:rPr>
              <w:t xml:space="preserve">, от 14.07.2022 </w:t>
            </w:r>
            <w:r>
              <w:rPr>
                <w:sz w:val="24"/>
                <w:color w:val="392c69"/>
              </w:rPr>
              <w:t xml:space="preserve">N 276-ФЗ</w:t>
            </w:r>
            <w:r>
              <w:rPr>
                <w:sz w:val="24"/>
                <w:color w:val="392c69"/>
              </w:rPr>
              <w:t xml:space="preserve">, от 25.12.2023 </w:t>
            </w:r>
            <w:r>
              <w:rPr>
                <w:sz w:val="24"/>
                <w:color w:val="392c69"/>
              </w:rPr>
              <w:t xml:space="preserve">N 665-ФЗ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Раздел I. ОБЩИЕ ПРИНЦИПЫ ОБЕСПЕЧЕНИЯ ПОЖАРНОЙ БЕЗОПАСНОСТИ</w:t>
      </w:r>
    </w:p>
    <w:p>
      <w:pPr>
        <w:pStyle w:val="0"/>
        <w:ind w:firstLine="540"/>
        <w:jc w:val="both"/>
      </w:pPr>
      <w:r>
        <w:rPr>
          <w:sz w:val="24"/>
        </w:rPr>
      </w:r>
    </w:p>
    <w:p>
      <w:pPr>
        <w:pStyle w:val="2"/>
        <w:outlineLvl w:val="2"/>
        <w:jc w:val="center"/>
      </w:pPr>
      <w:r>
        <w:rPr>
          <w:sz w:val="24"/>
        </w:rPr>
        <w:t xml:space="preserve">Глава 1. ОБЩИЕ ПОЛОЖЕНИЯ</w:t>
      </w:r>
    </w:p>
    <w:p>
      <w:pPr>
        <w:pStyle w:val="0"/>
        <w:ind w:firstLine="540"/>
        <w:jc w:val="both"/>
      </w:pPr>
      <w:r>
        <w:rPr>
          <w:sz w:val="24"/>
        </w:rPr>
      </w:r>
    </w:p>
    <w:p>
      <w:pPr>
        <w:pStyle w:val="2"/>
        <w:outlineLvl w:val="3"/>
        <w:ind w:firstLine="540"/>
        <w:jc w:val="both"/>
      </w:pPr>
      <w:r>
        <w:rPr>
          <w:sz w:val="24"/>
        </w:rPr>
        <w:t xml:space="preserve">Статья 1. Цели и сфера применения </w:t>
      </w:r>
      <w:r>
        <w:rPr>
          <w:sz w:val="24"/>
        </w:rPr>
        <w:t xml:space="preserve">технического регламента</w:t>
      </w:r>
    </w:p>
    <w:p>
      <w:pPr>
        <w:pStyle w:val="0"/>
        <w:ind w:firstLine="540"/>
        <w:jc w:val="both"/>
      </w:pPr>
      <w:r>
        <w:rPr>
          <w:sz w:val="24"/>
        </w:rPr>
      </w:r>
    </w:p>
    <w:p>
      <w:pPr>
        <w:pStyle w:val="0"/>
        <w:ind w:firstLine="540"/>
        <w:jc w:val="both"/>
      </w:pPr>
      <w:r>
        <w:rPr>
          <w:sz w:val="24"/>
        </w:rPr>
        <w:t xml:space="preserve">1. 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 Технические регламенты, принятые в соответствии с Федеральным </w:t>
      </w:r>
      <w:r>
        <w:rPr>
          <w:sz w:val="24"/>
        </w:rPr>
        <w:t xml:space="preserve">законом</w:t>
      </w:r>
      <w:r>
        <w:rPr>
          <w:sz w:val="24"/>
        </w:rPr>
        <w:t xml:space="preserve"> от 27 декабря 2002 года N 184-ФЗ "О техническом регулировании" (далее - Федеральный закон "О 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w:t>
      </w:r>
    </w:p>
    <w:p>
      <w:pPr>
        <w:pStyle w:val="0"/>
        <w:jc w:val="both"/>
      </w:pPr>
      <w:r>
        <w:rPr>
          <w:sz w:val="24"/>
        </w:rPr>
        <w:t xml:space="preserve">(в ред. Федеральных законов от 10.07.2012 </w:t>
      </w:r>
      <w:r>
        <w:rPr>
          <w:sz w:val="24"/>
        </w:rPr>
        <w:t xml:space="preserve">N 117-ФЗ</w:t>
      </w:r>
      <w:r>
        <w:rPr>
          <w:sz w:val="24"/>
        </w:rPr>
        <w:t xml:space="preserve">, от 29.07.2017 </w:t>
      </w:r>
      <w:r>
        <w:rPr>
          <w:sz w:val="24"/>
        </w:rPr>
        <w:t xml:space="preserve">N 244-ФЗ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2. Положения настоящего Федерального закона об обеспечении пожарной безопасности объектов защиты обязательны для исполнения при:</w:t>
      </w:r>
    </w:p>
    <w:p>
      <w:pPr>
        <w:pStyle w:val="0"/>
        <w:spacing w:before="240" w:line-rule="auto"/>
        <w:ind w:firstLine="540"/>
        <w:jc w:val="both"/>
      </w:pPr>
      <w:r>
        <w:rPr>
          <w:sz w:val="24"/>
        </w:rPr>
        <w:t xml:space="preserve">1) проектировании, строительстве, капитальном ремонте, реконструкции, техническом перевооружении, изменении функционального назначения, техническом обслуживании, эксплуатации и утилизации объектов защиты;</w:t>
      </w:r>
    </w:p>
    <w:p>
      <w:pPr>
        <w:pStyle w:val="0"/>
        <w:spacing w:before="240" w:line-rule="auto"/>
        <w:ind w:firstLine="540"/>
        <w:jc w:val="both"/>
      </w:pPr>
      <w:r>
        <w:rPr>
          <w:sz w:val="24"/>
        </w:rPr>
        <w:t xml:space="preserve">2) разработке, принятии, применении и исполнении технических регламентов, принятых в соответствии с Федеральным </w:t>
      </w:r>
      <w:r>
        <w:rPr>
          <w:sz w:val="24"/>
        </w:rPr>
        <w:t xml:space="preserve">законом</w:t>
      </w:r>
      <w:r>
        <w:rPr>
          <w:sz w:val="24"/>
        </w:rPr>
        <w:t xml:space="preserve"> "О техническом регулировании", содержащих требования пожарной безопасности, а также нормативных документов по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разработке технической документации на объекты защиты.</w:t>
      </w:r>
    </w:p>
    <w:p>
      <w:pPr>
        <w:pStyle w:val="0"/>
        <w:spacing w:before="240" w:line-rule="auto"/>
        <w:ind w:firstLine="540"/>
        <w:jc w:val="both"/>
      </w:pPr>
      <w:r>
        <w:rPr>
          <w:sz w:val="24"/>
        </w:rPr>
        <w:t xml:space="preserve">3. В отношении объектов защиты специального назначения, в том числе объектов военного назначения, атомных станций, производственных объектов,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 наряду с настоящим Федеральным законом должны соблюдаться требования пожарной безопасности, установленные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4. Техническое регулирование в области пожарной безопасности ядерного оружия и связанных с ним процессов разработки, производства, эксплуатации, хранения, перевозки, ликвидации и утилизации его составных частей, а также в области пожарной безопасности зданий и сооружений, объектов организаций ядерного оружейного комплекса Российской Федерации устанавливается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5. В отношении объектов культурного наследия (памятников истории и культуры) народов Российской Федерации религиозного назначения требования пожарной безопасности устанавливаются соответствующим нормативным </w:t>
      </w:r>
      <w:r>
        <w:rPr>
          <w:sz w:val="24"/>
        </w:rPr>
        <w:t xml:space="preserve">документом</w:t>
      </w:r>
      <w:r>
        <w:rPr>
          <w:sz w:val="24"/>
        </w:rPr>
        <w:t xml:space="preserve"> по пожарной безопасности.</w:t>
      </w:r>
    </w:p>
    <w:p>
      <w:pPr>
        <w:pStyle w:val="0"/>
        <w:jc w:val="both"/>
      </w:pPr>
      <w:r>
        <w:rPr>
          <w:sz w:val="24"/>
        </w:rPr>
        <w:t xml:space="preserve">(часть 5 введена Федеральным </w:t>
      </w:r>
      <w:r>
        <w:rPr>
          <w:sz w:val="24"/>
        </w:rPr>
        <w:t xml:space="preserve">законом</w:t>
      </w:r>
      <w:r>
        <w:rPr>
          <w:sz w:val="24"/>
        </w:rPr>
        <w:t xml:space="preserve"> от 29.07.2017 N 244-ФЗ)</w:t>
      </w:r>
    </w:p>
    <w:p>
      <w:pPr>
        <w:pStyle w:val="0"/>
        <w:spacing w:before="240" w:line-rule="auto"/>
        <w:ind w:firstLine="540"/>
        <w:jc w:val="both"/>
      </w:pPr>
      <w:r>
        <w:rPr>
          <w:sz w:val="24"/>
        </w:rPr>
        <w:t xml:space="preserve">6. В отношении средств обеспечения пожарной безопасности и пожаротушения требования пожарной безопасности устанавливаются техническим </w:t>
      </w:r>
      <w:r>
        <w:rPr>
          <w:sz w:val="24"/>
        </w:rPr>
        <w:t xml:space="preserve">регламентом</w:t>
      </w:r>
      <w:r>
        <w:rPr>
          <w:sz w:val="24"/>
        </w:rPr>
        <w:t xml:space="preserve"> Евразийского экономического союза "О требованиях к средствам обеспечения пожарной безопасности и пожаротушения" (ТР ЕАЭС 043/2017).</w:t>
      </w:r>
    </w:p>
    <w:p>
      <w:pPr>
        <w:pStyle w:val="0"/>
        <w:jc w:val="both"/>
      </w:pPr>
      <w:r>
        <w:rPr>
          <w:sz w:val="24"/>
        </w:rPr>
        <w:t xml:space="preserve">(часть 6 введена Федеральным </w:t>
      </w:r>
      <w:r>
        <w:rPr>
          <w:sz w:val="24"/>
        </w:rPr>
        <w:t xml:space="preserve">законом</w:t>
      </w:r>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2. Основные понятия</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основные понятия, установленные </w:t>
      </w:r>
      <w:r>
        <w:rPr>
          <w:sz w:val="24"/>
        </w:rPr>
        <w:t xml:space="preserve">статьей 2</w:t>
      </w:r>
      <w:r>
        <w:rPr>
          <w:sz w:val="24"/>
        </w:rPr>
        <w:t xml:space="preserve"> Федерального закона "О техническом регулировании", </w:t>
      </w:r>
      <w:r>
        <w:rPr>
          <w:sz w:val="24"/>
        </w:rPr>
        <w:t xml:space="preserve">статьей 1</w:t>
      </w:r>
      <w:r>
        <w:rPr>
          <w:sz w:val="24"/>
        </w:rPr>
        <w:t xml:space="preserve"> Федерального закона от 21 декабря 1994 года N 69-ФЗ "О пожарной безопасности" (далее - Федеральный закон "О пожарной безопасности"), а также следующие основные понятия: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 аварийный выход - выход, который не отвечает требованиям, предъявляемым к эвакуационным выходам, и предусматривается для повышения безопасности людей при пожаре;</w:t>
      </w:r>
    </w:p>
    <w:p>
      <w:pPr>
        <w:pStyle w:val="0"/>
        <w:jc w:val="both"/>
      </w:pPr>
      <w:r>
        <w:rPr>
          <w:sz w:val="24"/>
        </w:rPr>
        <w:t xml:space="preserve">(п. 1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безопасная зона - зона, в которой люди защищены от воздействия опасных факторов пожара или в которой опасные факторы пожара отсутствуют;</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3) взрыв - быстрое химическое превращение среды, сопровождающееся выделением энергии и образованием сжатых газов;</w:t>
      </w:r>
    </w:p>
    <w:p>
      <w:pPr>
        <w:pStyle w:val="0"/>
        <w:spacing w:before="240" w:line-rule="auto"/>
        <w:ind w:firstLine="540"/>
        <w:jc w:val="both"/>
      </w:pPr>
      <w:r>
        <w:rPr>
          <w:sz w:val="24"/>
        </w:rPr>
        <w:t xml:space="preserve">4) взрывоопасная смесь -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инициирования взрыва способна взорваться;</w:t>
      </w:r>
    </w:p>
    <w:p>
      <w:pPr>
        <w:pStyle w:val="0"/>
        <w:spacing w:before="240" w:line-rule="auto"/>
        <w:ind w:firstLine="540"/>
        <w:jc w:val="both"/>
      </w:pPr>
      <w:r>
        <w:rPr>
          <w:sz w:val="24"/>
        </w:rPr>
        <w:t xml:space="preserve">5) взрывопожароопасность объекта защиты - состояние объекта защиты, характеризуемое возможностью возникновения взрыва и развития пожара или возникновения пожара и последующего взрыва;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6) горючая среда - среда, способная воспламеняться при воздействии источника зажигания;</w:t>
      </w:r>
    </w:p>
    <w:p>
      <w:pPr>
        <w:pStyle w:val="0"/>
        <w:spacing w:before="240" w:line-rule="auto"/>
        <w:ind w:firstLine="540"/>
        <w:jc w:val="both"/>
      </w:pPr>
      <w:r>
        <w:rPr>
          <w:sz w:val="24"/>
        </w:rPr>
        <w:t xml:space="preserve">7) </w:t>
      </w:r>
      <w:r>
        <w:rPr>
          <w:sz w:val="24"/>
        </w:rPr>
        <w:t xml:space="preserve">декларация</w:t>
      </w:r>
      <w:r>
        <w:rPr>
          <w:sz w:val="24"/>
        </w:rPr>
        <w:t xml:space="preserve"> пожарной безопасности - форма оценки соответствия, содержащая информацию о мерах пожарной безопасности, направленных на обеспечение на объекте защиты нормативного значения пожарного риска;</w:t>
      </w:r>
    </w:p>
    <w:p>
      <w:pPr>
        <w:pStyle w:val="0"/>
        <w:spacing w:before="240" w:line-rule="auto"/>
        <w:ind w:firstLine="540"/>
        <w:jc w:val="both"/>
      </w:pPr>
      <w:r>
        <w:rPr>
          <w:sz w:val="24"/>
        </w:rPr>
        <w:t xml:space="preserve">8) допустимый пожарный риск - пожарный риск, уровень которого допустим и обоснован исходя из социально-экономических условий;</w:t>
      </w:r>
    </w:p>
    <w:p>
      <w:pPr>
        <w:pStyle w:val="0"/>
        <w:spacing w:before="240" w:line-rule="auto"/>
        <w:ind w:firstLine="540"/>
        <w:jc w:val="both"/>
      </w:pPr>
      <w:r>
        <w:rPr>
          <w:sz w:val="24"/>
        </w:rPr>
        <w:t xml:space="preserve">9) индивидуальный пожарный риск - пожарный риск, который может привести к гибели человека в результате воздействия опасных факторов пожара;</w:t>
      </w:r>
    </w:p>
    <w:p>
      <w:pPr>
        <w:pStyle w:val="0"/>
        <w:spacing w:before="240" w:line-rule="auto"/>
        <w:ind w:firstLine="540"/>
        <w:jc w:val="both"/>
      </w:pPr>
      <w:r>
        <w:rPr>
          <w:sz w:val="24"/>
        </w:rPr>
        <w:t xml:space="preserve">10) источник зажигания - средство энергетического воздействия, инициирующее возникновение горения;</w:t>
      </w:r>
    </w:p>
    <w:p>
      <w:pPr>
        <w:pStyle w:val="0"/>
        <w:spacing w:before="240" w:line-rule="auto"/>
        <w:ind w:firstLine="540"/>
        <w:jc w:val="both"/>
      </w:pPr>
      <w:r>
        <w:rPr>
          <w:sz w:val="24"/>
        </w:rPr>
        <w:t xml:space="preserve">11) класс конструктивной пожарной опасности зданий, сооружений и пожарных отсеков - классификационная характеристика зданий, сооружений и пожарных отсеков, определяемая степенью участия строительных конструкций в развитии пожара и образовании опасных факторов пожара;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12) класс функциональной пожарной опасности зданий, сооружений и пожарных отсеков - классификационная характеристика зданий, сооружений и пожарных отсеков, определяемая назначением и особенностями эксплуатации указанных зданий, сооружений и пожарных отсеков, в том числе особенностями осуществления в указанных зданиях, сооружениях и пожарных отсеках технологических процессов производства;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13) наружная установка - комплекс аппаратов и технологического оборудования, расположенных вне зданий и сооружений;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14) необходимое время эвакуации - время с момента возникновения пожара, в течение которого люди должны эвакуироваться в безопасную зону без причинения вреда жизни и здоровью людей в результате воздействия опасных факторов пожара;</w:t>
      </w:r>
    </w:p>
    <w:p>
      <w:pPr>
        <w:pStyle w:val="0"/>
        <w:spacing w:before="240" w:line-rule="auto"/>
        <w:ind w:firstLine="540"/>
        <w:jc w:val="both"/>
      </w:pPr>
      <w:r>
        <w:rPr>
          <w:sz w:val="24"/>
        </w:rPr>
        <w:t xml:space="preserve">15) объект защиты -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населенных пунктов,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пожарной безопасности для предотвращения пожара и защиты людей при пожаре;</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16) окислители - вещества и материалы, обладающие способностью вступать в реакцию с горючими веществами, вызывая их горение, а также увеличивать его интенсивность;</w:t>
      </w:r>
    </w:p>
    <w:p>
      <w:pPr>
        <w:pStyle w:val="0"/>
        <w:spacing w:before="240" w:line-rule="auto"/>
        <w:ind w:firstLine="540"/>
        <w:jc w:val="both"/>
      </w:pPr>
      <w:r>
        <w:rPr>
          <w:sz w:val="24"/>
        </w:rPr>
        <w:t xml:space="preserve">17) опасные факторы пожара - факторы пожара, воздействие которых может привести к травме, отравлению или гибели человека и (или) к материальному ущербу;</w:t>
      </w:r>
    </w:p>
    <w:p>
      <w:pPr>
        <w:pStyle w:val="0"/>
        <w:spacing w:before="240" w:line-rule="auto"/>
        <w:ind w:firstLine="540"/>
        <w:jc w:val="both"/>
      </w:pPr>
      <w:r>
        <w:rPr>
          <w:sz w:val="24"/>
        </w:rPr>
        <w:t xml:space="preserve">18) очаг пожара - место первоначального возникновения пожара;</w:t>
      </w:r>
    </w:p>
    <w:p>
      <w:pPr>
        <w:pStyle w:val="0"/>
        <w:spacing w:before="240" w:line-rule="auto"/>
        <w:ind w:firstLine="540"/>
        <w:jc w:val="both"/>
      </w:pPr>
      <w:r>
        <w:rPr>
          <w:sz w:val="24"/>
        </w:rPr>
        <w:t xml:space="preserve">19) утратил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20) пожарная безопасность объекта защиты -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pPr>
        <w:pStyle w:val="0"/>
        <w:spacing w:before="240" w:line-rule="auto"/>
        <w:ind w:firstLine="540"/>
        <w:jc w:val="both"/>
      </w:pPr>
      <w:r>
        <w:rPr>
          <w:sz w:val="24"/>
        </w:rPr>
        <w:t xml:space="preserve">21) пожарная опасность веществ и материалов - состояние веществ и материалов, характеризуемое возможностью возникновения горения или взрыва веществ и материалов;</w:t>
      </w:r>
    </w:p>
    <w:p>
      <w:pPr>
        <w:pStyle w:val="0"/>
        <w:spacing w:before="240" w:line-rule="auto"/>
        <w:ind w:firstLine="540"/>
        <w:jc w:val="both"/>
      </w:pPr>
      <w:r>
        <w:rPr>
          <w:sz w:val="24"/>
        </w:rPr>
        <w:t xml:space="preserve">22) пожарная опасность объекта защиты - состояние объекта защиты, характеризуемое возможностью возникновения и развития пожара, а также воздействия на людей и имущество опасных факторов пожара;</w:t>
      </w:r>
    </w:p>
    <w:p>
      <w:pPr>
        <w:pStyle w:val="0"/>
        <w:spacing w:before="240" w:line-rule="auto"/>
        <w:ind w:firstLine="540"/>
        <w:jc w:val="both"/>
      </w:pPr>
      <w:r>
        <w:rPr>
          <w:sz w:val="24"/>
        </w:rPr>
        <w:t xml:space="preserve">22.1) пожарная секция - часть пожарного отсека, выделенная противопожарными преградами и (или) зоной, свободной от пожарной нагрузки;</w:t>
      </w:r>
    </w:p>
    <w:p>
      <w:pPr>
        <w:pStyle w:val="0"/>
        <w:jc w:val="both"/>
      </w:pPr>
      <w:r>
        <w:rPr>
          <w:sz w:val="24"/>
        </w:rPr>
        <w:t xml:space="preserve">(п. 22.1 введен Федеральным </w:t>
      </w:r>
      <w:r>
        <w:rPr>
          <w:sz w:val="24"/>
        </w:rPr>
        <w:t xml:space="preserve">законом</w:t>
      </w:r>
      <w:r>
        <w:rPr>
          <w:sz w:val="24"/>
        </w:rPr>
        <w:t xml:space="preserve"> от 29.07.2017 N 244-ФЗ;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23) утратил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24) пожарное депо - 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p>
      <w:pPr>
        <w:pStyle w:val="0"/>
        <w:spacing w:before="240" w:line-rule="auto"/>
        <w:ind w:firstLine="540"/>
        <w:jc w:val="both"/>
      </w:pPr>
      <w:r>
        <w:rPr>
          <w:sz w:val="24"/>
        </w:rPr>
        <w:t xml:space="preserve">25) - 26) утратили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27) пожарный отсек - часть здания или сооружения, выделенная противопожарными стенами и (или) противопожарными перекрытиями 1-го типа;</w:t>
      </w:r>
    </w:p>
    <w:p>
      <w:pPr>
        <w:pStyle w:val="0"/>
        <w:jc w:val="both"/>
      </w:pPr>
      <w:r>
        <w:rPr>
          <w:sz w:val="24"/>
        </w:rPr>
        <w:t xml:space="preserve">(п. 27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28) пожарный риск - мера возможности реализации пожарной опасности объекта защиты и ее последствий для людей и материальных ценностей;</w:t>
      </w:r>
    </w:p>
    <w:p>
      <w:pPr>
        <w:pStyle w:val="0"/>
        <w:spacing w:before="240" w:line-rule="auto"/>
        <w:ind w:firstLine="540"/>
        <w:jc w:val="both"/>
      </w:pPr>
      <w:r>
        <w:rPr>
          <w:sz w:val="24"/>
        </w:rPr>
        <w:t xml:space="preserve">29) пожаровзрывоопасность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w:t>
      </w:r>
    </w:p>
    <w:p>
      <w:pPr>
        <w:pStyle w:val="0"/>
        <w:spacing w:before="240" w:line-rule="auto"/>
        <w:ind w:firstLine="540"/>
        <w:jc w:val="both"/>
      </w:pPr>
      <w:r>
        <w:rPr>
          <w:sz w:val="24"/>
        </w:rPr>
        <w:t xml:space="preserve">30) 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технологического процесса или его нарушении (аварии);</w:t>
      </w:r>
    </w:p>
    <w:p>
      <w:pPr>
        <w:pStyle w:val="0"/>
        <w:spacing w:before="240" w:line-rule="auto"/>
        <w:ind w:firstLine="540"/>
        <w:jc w:val="both"/>
      </w:pPr>
      <w:r>
        <w:rPr>
          <w:sz w:val="24"/>
        </w:rPr>
        <w:t xml:space="preserve">31) - 33) утратили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34)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w:t>
      </w:r>
    </w:p>
    <w:p>
      <w:pPr>
        <w:pStyle w:val="0"/>
        <w:spacing w:before="240" w:line-rule="auto"/>
        <w:ind w:firstLine="540"/>
        <w:jc w:val="both"/>
      </w:pPr>
      <w:r>
        <w:rPr>
          <w:sz w:val="24"/>
        </w:rPr>
        <w:t xml:space="preserve">35) противопожарная преграда - строительная конструкция с нормированными пределом огнестойкости и классом конструктивной пожарной опасности конструкции, объемный элемент здания или иное инженерное решение, предназначенные для предотвращения распространения пожара из одной части здания, сооружения в другую или между зданиями, сооружениями, зелеными насаждениями;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36) противопожарный разрыв (противопожарное расстояние) - нормированное расстояние между зданиями, сооружениями, устанавливаемое для предотвращения распространения пожара;</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37) - 38) утратили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39) система предотвращения пожара - комплекс организационных мероприятий и технических средств, исключающих возможность возникновения пожара на объекте защиты;</w:t>
      </w:r>
    </w:p>
    <w:p>
      <w:pPr>
        <w:pStyle w:val="0"/>
        <w:spacing w:before="240" w:line-rule="auto"/>
        <w:ind w:firstLine="540"/>
        <w:jc w:val="both"/>
      </w:pPr>
      <w:r>
        <w:rPr>
          <w:sz w:val="24"/>
        </w:rPr>
        <w:t xml:space="preserve">40) 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опасности задымления зданий и сооружений при пожаре, а также воздействия опасных факторов пожара на людей и материальные ценности;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41) система противопожарной защиты -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pPr>
        <w:pStyle w:val="0"/>
        <w:spacing w:before="240" w:line-rule="auto"/>
        <w:ind w:firstLine="540"/>
        <w:jc w:val="both"/>
      </w:pPr>
      <w:r>
        <w:rPr>
          <w:sz w:val="24"/>
        </w:rPr>
        <w:t xml:space="preserve">42) утратил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43) социальный пожарный риск - степень опасности, ведущей к гибели группы людей в результате воздействия опасных факторов пожара;</w:t>
      </w:r>
    </w:p>
    <w:p>
      <w:pPr>
        <w:pStyle w:val="0"/>
        <w:spacing w:before="240" w:line-rule="auto"/>
        <w:ind w:firstLine="540"/>
        <w:jc w:val="both"/>
      </w:pPr>
      <w:r>
        <w:rPr>
          <w:sz w:val="24"/>
        </w:rPr>
        <w:t xml:space="preserve">44) степень огнестойкости зданий, сооружений и пожарных отсеков - классификационная характеристика зданий, сооружений и пожарных отсеков, определяемая пределами огнестойкости конструкций, применяемых для строительства указанных зданий, сооружений и отсеков;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45) утратил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46) технологическая среда - вещества и материалы, обращающиеся в технологической аппаратуре (технологической системе);</w:t>
      </w:r>
    </w:p>
    <w:p>
      <w:pPr>
        <w:pStyle w:val="0"/>
        <w:spacing w:before="240" w:line-rule="auto"/>
        <w:ind w:firstLine="540"/>
        <w:jc w:val="both"/>
      </w:pPr>
      <w:r>
        <w:rPr>
          <w:sz w:val="24"/>
        </w:rPr>
        <w:t xml:space="preserve">47) устойчивость объекта защиты при пожаре - свойство объекта защиты сохранять конструктивную целостность и (или) функциональное назначение при воздействии опасных факторов пожара и вторичных проявлений опасных факторов пожара;</w:t>
      </w:r>
    </w:p>
    <w:p>
      <w:pPr>
        <w:pStyle w:val="0"/>
        <w:spacing w:before="240" w:line-rule="auto"/>
        <w:ind w:firstLine="540"/>
        <w:jc w:val="both"/>
      </w:pPr>
      <w:r>
        <w:rPr>
          <w:sz w:val="24"/>
        </w:rPr>
        <w:t xml:space="preserve">48) эвакуационный выход - выход, ведущий на путь эвакуации, непосредственно наружу или в безопасную зону;</w:t>
      </w:r>
    </w:p>
    <w:p>
      <w:pPr>
        <w:pStyle w:val="0"/>
        <w:spacing w:before="240" w:line-rule="auto"/>
        <w:ind w:firstLine="540"/>
        <w:jc w:val="both"/>
      </w:pPr>
      <w:r>
        <w:rPr>
          <w:sz w:val="24"/>
        </w:rPr>
        <w:t xml:space="preserve">49) эвакуационный путь (путь эвакуации) -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pPr>
        <w:pStyle w:val="0"/>
        <w:spacing w:before="240" w:line-rule="auto"/>
        <w:ind w:firstLine="540"/>
        <w:jc w:val="both"/>
      </w:pPr>
      <w:r>
        <w:rPr>
          <w:sz w:val="24"/>
        </w:rPr>
        <w:t xml:space="preserve">50) эвакуация - процесс организованного самостоятельного движения людей непосредственно наружу или в безопасную зону по путям эвакуации через эвакуационные выходы;</w:t>
      </w:r>
    </w:p>
    <w:p>
      <w:pPr>
        <w:pStyle w:val="0"/>
        <w:jc w:val="both"/>
      </w:pPr>
      <w:r>
        <w:rPr>
          <w:sz w:val="24"/>
        </w:rPr>
        <w:t xml:space="preserve">(п. 50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51) экранная стена - самонесущая строительная конструкция или заполнение проема в строительной конструкции с нормированным пределом огнестойкости, предназначенные для предотвращения распространения пожара.</w:t>
      </w:r>
    </w:p>
    <w:p>
      <w:pPr>
        <w:pStyle w:val="0"/>
        <w:jc w:val="both"/>
      </w:pPr>
      <w:r>
        <w:rPr>
          <w:sz w:val="24"/>
        </w:rPr>
        <w:t xml:space="preserve">(п. 51 введен Федеральным </w:t>
      </w:r>
      <w:r>
        <w:rPr>
          <w:sz w:val="24"/>
        </w:rPr>
        <w:t xml:space="preserve">законом</w:t>
      </w:r>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3. Правовые основы технического регулирования в области пожарной безопасности</w:t>
      </w:r>
    </w:p>
    <w:p>
      <w:pPr>
        <w:pStyle w:val="0"/>
        <w:ind w:firstLine="540"/>
        <w:jc w:val="both"/>
      </w:pPr>
      <w:r>
        <w:rPr>
          <w:sz w:val="24"/>
        </w:rPr>
      </w:r>
    </w:p>
    <w:p>
      <w:pPr>
        <w:pStyle w:val="0"/>
        <w:ind w:firstLine="540"/>
        <w:jc w:val="both"/>
      </w:pPr>
      <w:r>
        <w:rPr>
          <w:sz w:val="24"/>
        </w:rPr>
        <w:t xml:space="preserve">Правовой основой технического регулирования в области пожарной безопасности являются </w:t>
      </w:r>
      <w:r>
        <w:rPr>
          <w:sz w:val="24"/>
        </w:rPr>
        <w:t xml:space="preserve">Конституция</w:t>
      </w:r>
      <w:r>
        <w:rPr>
          <w:sz w:val="24"/>
        </w:rPr>
        <w:t xml:space="preserve"> Российской Федерации, общепризнанные принципы и нормы международного права, международные договоры Российской Федерации, Федеральный </w:t>
      </w:r>
      <w:r>
        <w:rPr>
          <w:sz w:val="24"/>
        </w:rPr>
        <w:t xml:space="preserve">закон</w:t>
      </w:r>
      <w:r>
        <w:rPr>
          <w:sz w:val="24"/>
        </w:rPr>
        <w:t xml:space="preserve"> "О техническом регулировании", Федеральный </w:t>
      </w:r>
      <w:r>
        <w:rPr>
          <w:sz w:val="24"/>
        </w:rPr>
        <w:t xml:space="preserve">закон</w:t>
      </w:r>
      <w:r>
        <w:rPr>
          <w:sz w:val="24"/>
        </w:rPr>
        <w:t xml:space="preserve"> "О пожарной безопасности" и настоящий Федеральный закон, в соответствии с которыми разрабатываются и принимаются нормативные правовые акты Российской Федерации, регулирующие вопросы обеспечения пожарной безопасности объектов защиты (продукции).</w:t>
      </w:r>
    </w:p>
    <w:p>
      <w:pPr>
        <w:pStyle w:val="0"/>
        <w:ind w:firstLine="540"/>
        <w:jc w:val="both"/>
      </w:pPr>
      <w:r>
        <w:rPr>
          <w:sz w:val="24"/>
        </w:rPr>
      </w:r>
    </w:p>
    <w:p>
      <w:pPr>
        <w:pStyle w:val="2"/>
        <w:outlineLvl w:val="3"/>
        <w:ind w:firstLine="540"/>
        <w:jc w:val="both"/>
      </w:pPr>
      <w:r>
        <w:rPr>
          <w:sz w:val="24"/>
        </w:rPr>
        <w:t xml:space="preserve">Статья 4. Техническое регулирование в области пожарной безопасности</w:t>
      </w:r>
    </w:p>
    <w:p>
      <w:pPr>
        <w:pStyle w:val="0"/>
        <w:ind w:firstLine="540"/>
        <w:jc w:val="both"/>
      </w:pPr>
      <w:r>
        <w:rPr>
          <w:sz w:val="24"/>
        </w:rPr>
      </w:r>
    </w:p>
    <w:p>
      <w:pPr>
        <w:pStyle w:val="0"/>
        <w:ind w:firstLine="540"/>
        <w:jc w:val="both"/>
      </w:pPr>
      <w:r>
        <w:rPr>
          <w:sz w:val="24"/>
        </w:rPr>
        <w:t xml:space="preserve">1. Техническое регулирование в области пожарной безопасности представляет собой:</w:t>
      </w:r>
    </w:p>
    <w:p>
      <w:pPr>
        <w:pStyle w:val="0"/>
        <w:spacing w:before="240" w:line-rule="auto"/>
        <w:ind w:firstLine="540"/>
        <w:jc w:val="both"/>
      </w:pPr>
      <w:r>
        <w:rPr>
          <w:sz w:val="24"/>
        </w:rPr>
        <w:t xml:space="preserve">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pPr>
        <w:pStyle w:val="0"/>
        <w:spacing w:before="240" w:line-rule="auto"/>
        <w:ind w:firstLine="540"/>
        <w:jc w:val="both"/>
      </w:pPr>
      <w:r>
        <w:rPr>
          <w:sz w:val="24"/>
        </w:rPr>
        <w:t xml:space="preserve">2) правовое регулирование отношений в области применения и использования требований пожарной безопасности;</w:t>
      </w:r>
    </w:p>
    <w:p>
      <w:pPr>
        <w:pStyle w:val="0"/>
        <w:spacing w:before="240" w:line-rule="auto"/>
        <w:ind w:firstLine="540"/>
        <w:jc w:val="both"/>
      </w:pPr>
      <w:r>
        <w:rPr>
          <w:sz w:val="24"/>
        </w:rPr>
        <w:t xml:space="preserve">3) правовое регулирование отношений в области оценки соответствия.</w:t>
      </w:r>
    </w:p>
    <w:p>
      <w:pPr>
        <w:pStyle w:val="0"/>
        <w:spacing w:before="240" w:line-rule="auto"/>
        <w:ind w:firstLine="540"/>
        <w:jc w:val="both"/>
      </w:pPr>
      <w:r>
        <w:rPr>
          <w:sz w:val="24"/>
        </w:rPr>
        <w:t xml:space="preserve">2. К нормативным правовым актам Российской Федерации по пожарной безопасности относятся технические регламенты, принятые в соответствии с Федеральным </w:t>
      </w:r>
      <w:r>
        <w:rPr>
          <w:sz w:val="24"/>
        </w:rPr>
        <w:t xml:space="preserve">законом</w:t>
      </w:r>
      <w:r>
        <w:rPr>
          <w:sz w:val="24"/>
        </w:rPr>
        <w:t xml:space="preserve"> "О техническом регулировании",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К нормативным документам по пожарной безопасности относятся:</w:t>
      </w:r>
    </w:p>
    <w:bookmarkStart w:id="127" w:name="P127"/>
    <w:bookmarkEnd w:id="127"/>
    <w:p>
      <w:pPr>
        <w:pStyle w:val="0"/>
        <w:spacing w:before="240" w:line-rule="auto"/>
        <w:ind w:firstLine="540"/>
        <w:jc w:val="both"/>
      </w:pPr>
      <w:r>
        <w:rPr>
          <w:sz w:val="24"/>
        </w:rPr>
        <w:t xml:space="preserve">1) национальные стандарты, своды правил, а также иные содержащие требования пожарной безопасности документы, которые включены в </w:t>
      </w:r>
      <w:r>
        <w:rPr>
          <w:sz w:val="24"/>
        </w:rPr>
        <w:t xml:space="preserve">перечень</w:t>
      </w:r>
      <w:r>
        <w:rPr>
          <w:sz w:val="24"/>
        </w:rPr>
        <w:t xml:space="preserve"> документов по стандартизации и в результате применения которых на добровольной основе обеспечивается соблюдение требований настоящего Федерального закона;</w:t>
      </w:r>
    </w:p>
    <w:p>
      <w:pPr>
        <w:pStyle w:val="0"/>
        <w:spacing w:before="240" w:line-rule="auto"/>
        <w:ind w:firstLine="540"/>
        <w:jc w:val="both"/>
      </w:pPr>
      <w:r>
        <w:rPr>
          <w:sz w:val="24"/>
        </w:rPr>
        <w:t xml:space="preserve">2) 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 и сооружений и содержащие комплекс необходимых инженерно-технических и организационных мероприятий по обеспечению пожарной безопасности.</w:t>
      </w:r>
    </w:p>
    <w:p>
      <w:pPr>
        <w:pStyle w:val="0"/>
        <w:jc w:val="both"/>
      </w:pPr>
      <w:r>
        <w:rPr>
          <w:sz w:val="24"/>
        </w:rPr>
        <w:t xml:space="preserve">(часть 3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4. В случае, если положениями настоящего Федерального закона (за исключением положений </w:t>
      </w:r>
      <w:hyperlink w:history="0" w:anchor="P867" w:tooltip="Статья 64. Требования к декларации пожарной безопасности">
        <w:r>
          <w:rPr>
            <w:sz w:val="24"/>
            <w:color w:val="0000ff"/>
          </w:rPr>
          <w:t xml:space="preserve">статьи 64</w:t>
        </w:r>
      </w:hyperlink>
      <w:r>
        <w:rPr>
          <w:sz w:val="24"/>
        </w:rPr>
        <w:t xml:space="preserve">, </w:t>
      </w:r>
      <w:hyperlink w:history="0" w:anchor="P1093" w:tooltip="1. Электроустановки зданий и сооружений должны соответствовать классу пожаровзрывоопасной зоны, в которой они установлены, а также категории и группе горючей смеси. Для обеспечения бесперебойного энергоснабжения систем противопожарной защиты, установленных в зданиях класса функциональной пожарной опасности Ф1.1 с круглосуточным пребыванием людей, должны предусматриваться автономные резервные источники электроснабжения.">
        <w:r>
          <w:rPr>
            <w:sz w:val="24"/>
            <w:color w:val="0000ff"/>
          </w:rPr>
          <w:t xml:space="preserve">части 1 статьи 82</w:t>
        </w:r>
      </w:hyperlink>
      <w:r>
        <w:rPr>
          <w:sz w:val="24"/>
        </w:rPr>
        <w:t xml:space="preserve">, </w:t>
      </w:r>
      <w:hyperlink w:history="0" w:anchor="P1134" w:tooltip="7. Системы пожарной сигнализации должны обеспечивать подачу светового и звукового сигналов о возникновении пожара на прибор приемно-контрольный пожарный, устанавливаемый в помещении дежурного персонала, или на специальные выносные устройства оповещения, а в зданиях классов функциональной пожарной опасности Ф1.1, Ф1.2, Ф4.1, Ф4.2 с автоматическим дублированием этих сигналов в подразделение пожарной охраны с использованием системы передачи извещений о пожаре.">
        <w:r>
          <w:rPr>
            <w:sz w:val="24"/>
            <w:color w:val="0000ff"/>
          </w:rPr>
          <w:t xml:space="preserve">части 7 статьи 83</w:t>
        </w:r>
      </w:hyperlink>
      <w:r>
        <w:rPr>
          <w:sz w:val="24"/>
        </w:rPr>
        <w:t xml:space="preserve">, </w:t>
      </w:r>
      <w:hyperlink w:history="0" w:anchor="P1142" w:tooltip="Статья 84. Требования пожарной безопасности к системам оповещения людей о пожаре и управления эвакуацией людей в зданиях и сооружениях">
        <w:r>
          <w:rPr>
            <w:sz w:val="24"/>
            <w:color w:val="0000ff"/>
          </w:rPr>
          <w:t xml:space="preserve">части 12 статьи 84</w:t>
        </w:r>
      </w:hyperlink>
      <w:r>
        <w:rPr>
          <w:sz w:val="24"/>
        </w:rPr>
        <w:t xml:space="preserve">, </w:t>
      </w:r>
      <w:hyperlink w:history="0" w:anchor="P1411" w:tooltip="1. Подразделения пожарной охраны и здания пожарных депо размещаются на производственных объектах:">
        <w:r>
          <w:rPr>
            <w:sz w:val="24"/>
            <w:color w:val="0000ff"/>
          </w:rPr>
          <w:t xml:space="preserve">частей 1.1</w:t>
        </w:r>
      </w:hyperlink>
      <w:r>
        <w:rPr>
          <w:sz w:val="24"/>
        </w:rPr>
        <w:t xml:space="preserve"> и </w:t>
      </w:r>
      <w:hyperlink w:history="0" w:anchor="P1415" w:tooltip="2. 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Тип и количество пожарных автомобилей подразделений пожарной охраны на производственных объектах определяются с учетом привлекаемых для тушения пож...">
        <w:r>
          <w:rPr>
            <w:sz w:val="24"/>
            <w:color w:val="0000ff"/>
          </w:rPr>
          <w:t xml:space="preserve">1.2 статьи 97</w:t>
        </w:r>
      </w:hyperlink>
      <w:r>
        <w:rPr>
          <w:sz w:val="24"/>
        </w:rPr>
        <w:t xml:space="preserve">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p>
    <w:p>
      <w:pPr>
        <w:pStyle w:val="0"/>
        <w:jc w:val="both"/>
      </w:pPr>
      <w:r>
        <w:rPr>
          <w:sz w:val="24"/>
        </w:rPr>
        <w:t xml:space="preserve">(часть 4 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5. На территориях Республики Крым и города федерального значения Севастополя в отношении объектов защиты, которые были введены в эксплуатацию либо проектная документация на которые была направлена на экспертизу до 1 января 2015 года, ранее действовавшие требования пожарной безопасности применяются до 1 сентября 2018 года.</w:t>
      </w:r>
    </w:p>
    <w:p>
      <w:pPr>
        <w:pStyle w:val="0"/>
        <w:jc w:val="both"/>
      </w:pPr>
      <w:r>
        <w:rPr>
          <w:sz w:val="24"/>
        </w:rPr>
        <w:t xml:space="preserve">(часть 5 введена Федеральным </w:t>
      </w:r>
      <w:r>
        <w:rPr>
          <w:sz w:val="24"/>
        </w:rPr>
        <w:t xml:space="preserve">законом</w:t>
      </w:r>
      <w:r>
        <w:rPr>
          <w:sz w:val="24"/>
        </w:rPr>
        <w:t xml:space="preserve"> от 03.07.2016 N 301-ФЗ)</w:t>
      </w:r>
    </w:p>
    <w:p>
      <w:pPr>
        <w:pStyle w:val="0"/>
        <w:spacing w:before="240" w:line-rule="auto"/>
        <w:ind w:firstLine="540"/>
        <w:jc w:val="both"/>
      </w:pPr>
      <w:r>
        <w:rPr>
          <w:sz w:val="24"/>
        </w:rPr>
        <w:t xml:space="preserve">6. На территориях Донецкой Народной Республики, Луганской Народной Республики, Запорожской области и Херсонской области в отношении объектов защиты, которые введены в эксплуатацию либо проектная документация которых была направлена на экспертизу проектной документации объектов капитального строительства до 30 сентября 2022 года, требования пожарной безопасности, регламентированные законодательством Украины, Донецкой Народной Республики, Луганской Народной Республики, применяются до 1 января 2028 года.</w:t>
      </w:r>
    </w:p>
    <w:p>
      <w:pPr>
        <w:pStyle w:val="0"/>
        <w:jc w:val="both"/>
      </w:pPr>
      <w:r>
        <w:rPr>
          <w:sz w:val="24"/>
        </w:rPr>
        <w:t xml:space="preserve">(часть 6 введена Федеральным </w:t>
      </w:r>
      <w:r>
        <w:rPr>
          <w:sz w:val="24"/>
        </w:rPr>
        <w:t xml:space="preserve">законом</w:t>
      </w:r>
      <w:r>
        <w:rPr>
          <w:sz w:val="24"/>
        </w:rPr>
        <w:t xml:space="preserve"> от 25.12.2023 N 665-ФЗ)</w:t>
      </w:r>
    </w:p>
    <w:p>
      <w:pPr>
        <w:pStyle w:val="0"/>
        <w:ind w:firstLine="540"/>
        <w:jc w:val="both"/>
      </w:pPr>
      <w:r>
        <w:rPr>
          <w:sz w:val="24"/>
        </w:rPr>
      </w:r>
    </w:p>
    <w:p>
      <w:pPr>
        <w:pStyle w:val="2"/>
        <w:outlineLvl w:val="3"/>
        <w:ind w:firstLine="540"/>
        <w:jc w:val="both"/>
      </w:pPr>
      <w:r>
        <w:rPr>
          <w:sz w:val="24"/>
        </w:rPr>
        <w:t xml:space="preserve">Статья 5. Обеспечение пожарной безопасности объектов защиты</w:t>
      </w:r>
    </w:p>
    <w:p>
      <w:pPr>
        <w:pStyle w:val="0"/>
        <w:ind w:firstLine="540"/>
        <w:jc w:val="both"/>
      </w:pPr>
      <w:r>
        <w:rPr>
          <w:sz w:val="24"/>
        </w:rPr>
      </w:r>
    </w:p>
    <w:p>
      <w:pPr>
        <w:pStyle w:val="0"/>
        <w:ind w:firstLine="540"/>
        <w:jc w:val="both"/>
      </w:pPr>
      <w:r>
        <w:rPr>
          <w:sz w:val="24"/>
        </w:rPr>
        <w:t xml:space="preserve">1. Каждый объект защиты должен иметь систему обеспечения пожарной безопасности.</w:t>
      </w:r>
    </w:p>
    <w:p>
      <w:pPr>
        <w:pStyle w:val="0"/>
        <w:spacing w:before="240" w:line-rule="auto"/>
        <w:ind w:firstLine="540"/>
        <w:jc w:val="both"/>
      </w:pPr>
      <w:r>
        <w:rPr>
          <w:sz w:val="24"/>
        </w:rPr>
        <w:t xml:space="preserve">2. Целью создания системы обеспечения пожарной безопасности объекта защиты является предотвращение пожара, обеспечение безопасности людей и защита имущества при пожаре.</w:t>
      </w:r>
    </w:p>
    <w:p>
      <w:pPr>
        <w:pStyle w:val="0"/>
        <w:spacing w:before="240" w:line-rule="auto"/>
        <w:ind w:firstLine="540"/>
        <w:jc w:val="both"/>
      </w:pPr>
      <w:r>
        <w:rPr>
          <w:sz w:val="24"/>
        </w:rPr>
        <w:t xml:space="preserve">3.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pPr>
        <w:pStyle w:val="0"/>
        <w:spacing w:before="240" w:line-rule="auto"/>
        <w:ind w:firstLine="540"/>
        <w:jc w:val="both"/>
      </w:pPr>
      <w:r>
        <w:rPr>
          <w:sz w:val="24"/>
        </w:rPr>
        <w:t xml:space="preserve">4. 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настоящим Федеральным законом, и направленных на предотвращение опасности причинения вреда третьим лицам в результате пожара.</w:t>
      </w:r>
    </w:p>
    <w:p>
      <w:pPr>
        <w:pStyle w:val="0"/>
        <w:ind w:firstLine="540"/>
        <w:jc w:val="both"/>
      </w:pPr>
      <w:r>
        <w:rPr>
          <w:sz w:val="24"/>
        </w:rPr>
      </w:r>
    </w:p>
    <w:p>
      <w:pPr>
        <w:pStyle w:val="2"/>
        <w:outlineLvl w:val="3"/>
        <w:ind w:firstLine="540"/>
        <w:jc w:val="both"/>
      </w:pPr>
      <w:r>
        <w:rPr>
          <w:sz w:val="24"/>
        </w:rPr>
        <w:t xml:space="preserve">Статья 6. Условия соответствия объекта защиты требованиям пожарной безопасности</w:t>
      </w:r>
    </w:p>
    <w:p>
      <w:pPr>
        <w:pStyle w:val="0"/>
        <w:ind w:firstLine="540"/>
        <w:jc w:val="both"/>
      </w:pPr>
      <w:r>
        <w:rPr>
          <w:sz w:val="24"/>
        </w:rPr>
      </w:r>
    </w:p>
    <w:p>
      <w:pPr>
        <w:pStyle w:val="0"/>
        <w:ind w:firstLine="540"/>
        <w:jc w:val="both"/>
      </w:pPr>
      <w:r>
        <w:rPr>
          <w:sz w:val="24"/>
        </w:rPr>
        <w:t xml:space="preserve">1. Пожарная безопасность объекта защиты считается обеспеченной при выполнении в полном объеме требований пожарной безопасности, установленных настоящим Федеральным законом, а также одного из следующих условий:</w:t>
      </w:r>
    </w:p>
    <w:p>
      <w:pPr>
        <w:pStyle w:val="0"/>
        <w:spacing w:before="240" w:line-rule="auto"/>
        <w:ind w:firstLine="540"/>
        <w:jc w:val="both"/>
      </w:pPr>
      <w:r>
        <w:rPr>
          <w:sz w:val="24"/>
        </w:rPr>
        <w:t xml:space="preserve">1) выполнены требования пожарной безопасности, содержащиеся в нормативных документах по пожарной безопасности, указанных в </w:t>
      </w:r>
      <w:hyperlink w:history="0" w:anchor="P127" w:tooltip="1) национальные стандарты, своды правил, а также иные содержащие требования пожарной безопасности документы, которые включены в перечень документов по стандартизации и в результате применения которых на добровольной основе обеспечивается соблюдение требований настоящего Федерального закона;">
        <w:r>
          <w:rPr>
            <w:sz w:val="24"/>
            <w:color w:val="0000ff"/>
          </w:rPr>
          <w:t xml:space="preserve">пункте 1 части 3 статьи 4</w:t>
        </w:r>
      </w:hyperlink>
      <w:r>
        <w:rPr>
          <w:sz w:val="24"/>
        </w:rPr>
        <w:t xml:space="preserve"> настоящего Федерального закона;</w:t>
      </w:r>
    </w:p>
    <w:p>
      <w:pPr>
        <w:pStyle w:val="0"/>
        <w:spacing w:before="240" w:line-rule="auto"/>
        <w:ind w:firstLine="540"/>
        <w:jc w:val="both"/>
      </w:pPr>
      <w:r>
        <w:rPr>
          <w:sz w:val="24"/>
        </w:rPr>
        <w:t xml:space="preserve">2) пожарный риск не превышает допустимых значений, установленных настоящим Федеральным законом;</w:t>
      </w:r>
    </w:p>
    <w:p>
      <w:pPr>
        <w:pStyle w:val="0"/>
        <w:spacing w:before="240" w:line-rule="auto"/>
        <w:ind w:firstLine="540"/>
        <w:jc w:val="both"/>
      </w:pPr>
      <w:r>
        <w:rPr>
          <w:sz w:val="24"/>
        </w:rPr>
        <w:t xml:space="preserve">3) выполнены требования пожарной безопасности, содержащиеся в специальных технических условиях,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 согласованных в порядке, установленном федеральным органом исполнительной власти, уполномоченным на решение задач в области пожарной безопасности;</w:t>
      </w:r>
    </w:p>
    <w:p>
      <w:pPr>
        <w:pStyle w:val="0"/>
        <w:spacing w:before="240" w:line-rule="auto"/>
        <w:ind w:firstLine="540"/>
        <w:jc w:val="both"/>
      </w:pPr>
      <w:r>
        <w:rPr>
          <w:sz w:val="24"/>
        </w:rPr>
        <w:t xml:space="preserve">4) выполнены требования пожарной безопасности, содержащиеся в стандарте организации, который согласован в </w:t>
      </w:r>
      <w:r>
        <w:rPr>
          <w:sz w:val="24"/>
        </w:rPr>
        <w:t xml:space="preserve">порядке</w:t>
      </w:r>
      <w:r>
        <w:rPr>
          <w:sz w:val="24"/>
        </w:rPr>
        <w:t xml:space="preserve">, установленном федеральным органом исполнительной власти, уполномоченным на решение задач в области пожарной безопасности;</w:t>
      </w:r>
    </w:p>
    <w:p>
      <w:pPr>
        <w:pStyle w:val="0"/>
        <w:spacing w:before="240" w:line-rule="auto"/>
        <w:ind w:firstLine="540"/>
        <w:jc w:val="both"/>
      </w:pPr>
      <w:r>
        <w:rPr>
          <w:sz w:val="24"/>
        </w:rPr>
        <w:t xml:space="preserve">5) результаты исследований, расчетов и (или) испытаний подтверждают обеспечение пожарной безопасности объекта защиты в соответствии с </w:t>
      </w:r>
      <w:hyperlink w:history="0" w:anchor="P160" w:tooltip="7. Порядок проведения расчетов по оценке пожарного риска определяется нормативными правовыми актами Российской Федерации и нормативными документами по пожарной безопасности.">
        <w:r>
          <w:rPr>
            <w:sz w:val="24"/>
            <w:color w:val="0000ff"/>
          </w:rPr>
          <w:t xml:space="preserve">частью 7</w:t>
        </w:r>
      </w:hyperlink>
      <w:r>
        <w:rPr>
          <w:sz w:val="24"/>
        </w:rPr>
        <w:t xml:space="preserve"> настоящей статьи.</w:t>
      </w:r>
    </w:p>
    <w:p>
      <w:pPr>
        <w:pStyle w:val="0"/>
        <w:jc w:val="both"/>
      </w:pPr>
      <w:r>
        <w:rPr>
          <w:sz w:val="24"/>
        </w:rPr>
        <w:t xml:space="preserve">(часть 1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3. При выполнении обязательных требований пожарной безопасности, установленных техническими регламентами, принятыми в соответствии с Федеральным </w:t>
      </w:r>
      <w:r>
        <w:rPr>
          <w:sz w:val="24"/>
        </w:rPr>
        <w:t xml:space="preserve">законом</w:t>
      </w:r>
      <w:r>
        <w:rPr>
          <w:sz w:val="24"/>
        </w:rPr>
        <w:t xml:space="preserve"> "О техническом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настоящего Федерального закона, расчет пожарного риска не требуется.</w:t>
      </w:r>
    </w:p>
    <w:p>
      <w:pPr>
        <w:pStyle w:val="0"/>
        <w:jc w:val="both"/>
      </w:pPr>
      <w:r>
        <w:rPr>
          <w:sz w:val="24"/>
        </w:rPr>
        <w:t xml:space="preserve">(часть 3 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5.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должны в рамках реализации мер пожарной безопасности в соответствии со </w:t>
      </w:r>
      <w:hyperlink w:history="0" w:anchor="P867" w:tooltip="Статья 64. Требования к декларации пожарной безопасности">
        <w:r>
          <w:rPr>
            <w:sz w:val="24"/>
            <w:color w:val="0000ff"/>
          </w:rPr>
          <w:t xml:space="preserve">статьей 64</w:t>
        </w:r>
      </w:hyperlink>
      <w:r>
        <w:rPr>
          <w:sz w:val="24"/>
        </w:rPr>
        <w:t xml:space="preserve"> настоящего Федерального закона в течение шести месяцев со дня приобретения такого права разработать и представить в уведомительном порядке декларацию пожарной безопасности.</w:t>
      </w:r>
    </w:p>
    <w:p>
      <w:pPr>
        <w:pStyle w:val="0"/>
        <w:jc w:val="both"/>
      </w:pPr>
      <w:r>
        <w:rPr>
          <w:sz w:val="24"/>
        </w:rPr>
        <w:t xml:space="preserve">(часть 5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6. Расчеты по оценке пожарного риска являются составной частью </w:t>
      </w:r>
      <w:r>
        <w:rPr>
          <w:sz w:val="24"/>
        </w:rPr>
        <w:t xml:space="preserve">декларации</w:t>
      </w:r>
      <w:r>
        <w:rPr>
          <w:sz w:val="24"/>
        </w:rPr>
        <w:t xml:space="preserve"> пожарной безопасности или декларации промышленной безопасности (на объектах, для которых они должны быть разработаны в соответствии с законодательством Российской Федерации).</w:t>
      </w:r>
    </w:p>
    <w:bookmarkStart w:id="160" w:name="P160"/>
    <w:bookmarkEnd w:id="160"/>
    <w:p>
      <w:pPr>
        <w:pStyle w:val="0"/>
        <w:spacing w:before="240" w:line-rule="auto"/>
        <w:ind w:firstLine="540"/>
        <w:jc w:val="both"/>
      </w:pPr>
      <w:r>
        <w:rPr>
          <w:sz w:val="24"/>
        </w:rPr>
        <w:t xml:space="preserve">7. </w:t>
      </w:r>
      <w:r>
        <w:rPr>
          <w:sz w:val="24"/>
        </w:rPr>
        <w:t xml:space="preserve">Порядок</w:t>
      </w:r>
      <w:r>
        <w:rPr>
          <w:sz w:val="24"/>
        </w:rPr>
        <w:t xml:space="preserve"> проведения расчетов по оценке пожарного риска определяется нормативными правовыми актами Российской Федерации и нормативными документами по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8. Разработка декларации пожарной безопасности не требуется для обоснования пожарной безопасности пожарно-технической продукции и продукции общего назначения.</w:t>
      </w:r>
    </w:p>
    <w:p>
      <w:pPr>
        <w:pStyle w:val="0"/>
        <w:ind w:firstLine="540"/>
        <w:jc w:val="both"/>
      </w:pPr>
      <w:r>
        <w:rPr>
          <w:sz w:val="24"/>
        </w:rPr>
      </w:r>
    </w:p>
    <w:p>
      <w:pPr>
        <w:pStyle w:val="2"/>
        <w:outlineLvl w:val="3"/>
        <w:ind w:firstLine="540"/>
        <w:jc w:val="both"/>
      </w:pPr>
      <w:r>
        <w:rPr>
          <w:sz w:val="24"/>
        </w:rPr>
        <w:t xml:space="preserve">Статья 6.1. Идентификация объектов защиты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244-ФЗ)</w:t>
      </w:r>
    </w:p>
    <w:p>
      <w:pPr>
        <w:pStyle w:val="0"/>
        <w:ind w:firstLine="540"/>
        <w:jc w:val="both"/>
      </w:pPr>
      <w:r>
        <w:rPr>
          <w:sz w:val="24"/>
        </w:rPr>
      </w:r>
    </w:p>
    <w:p>
      <w:pPr>
        <w:pStyle w:val="0"/>
        <w:ind w:firstLine="540"/>
        <w:jc w:val="both"/>
      </w:pPr>
      <w:r>
        <w:rPr>
          <w:sz w:val="24"/>
        </w:rPr>
        <w:t xml:space="preserve">Идентификация здания, сооружения, производственного объекта проводится путем установления их соответствия следующим существенным признакам:</w:t>
      </w:r>
    </w:p>
    <w:p>
      <w:pPr>
        <w:pStyle w:val="0"/>
        <w:spacing w:before="240" w:line-rule="auto"/>
        <w:ind w:firstLine="540"/>
        <w:jc w:val="both"/>
      </w:pPr>
      <w:r>
        <w:rPr>
          <w:sz w:val="24"/>
        </w:rPr>
        <w:t xml:space="preserve">1) класс функциональной пожарной опасности;</w:t>
      </w:r>
    </w:p>
    <w:p>
      <w:pPr>
        <w:pStyle w:val="0"/>
        <w:spacing w:before="240" w:line-rule="auto"/>
        <w:ind w:firstLine="540"/>
        <w:jc w:val="both"/>
      </w:pPr>
      <w:r>
        <w:rPr>
          <w:sz w:val="24"/>
        </w:rPr>
        <w:t xml:space="preserve">2) степень огнестойкости, класс конструктивной пожарной опасности;</w:t>
      </w:r>
    </w:p>
    <w:p>
      <w:pPr>
        <w:pStyle w:val="0"/>
        <w:spacing w:before="240" w:line-rule="auto"/>
        <w:ind w:firstLine="540"/>
        <w:jc w:val="both"/>
      </w:pPr>
      <w:r>
        <w:rPr>
          <w:sz w:val="24"/>
        </w:rPr>
        <w:t xml:space="preserve">3) категория наружных установок по пожарной опасности, категория зданий, сооружений и помещений по пожарной и взрывопожарной опасности (для производственных объектов).</w:t>
      </w:r>
    </w:p>
    <w:p>
      <w:pPr>
        <w:pStyle w:val="0"/>
        <w:ind w:firstLine="540"/>
        <w:jc w:val="both"/>
      </w:pPr>
      <w:r>
        <w:rPr>
          <w:sz w:val="24"/>
        </w:rPr>
      </w:r>
    </w:p>
    <w:p>
      <w:pPr>
        <w:pStyle w:val="2"/>
        <w:outlineLvl w:val="2"/>
        <w:jc w:val="center"/>
      </w:pPr>
      <w:r>
        <w:rPr>
          <w:sz w:val="24"/>
        </w:rPr>
        <w:t xml:space="preserve">Глава 2. КЛАССИФИКАЦИЯ ПОЖАРОВ И ОПАСНЫХ ФАКТОРОВ ПОЖАРА</w:t>
      </w:r>
    </w:p>
    <w:p>
      <w:pPr>
        <w:pStyle w:val="0"/>
        <w:jc w:val="center"/>
      </w:pPr>
      <w:r>
        <w:rPr>
          <w:sz w:val="24"/>
        </w:rPr>
      </w:r>
    </w:p>
    <w:p>
      <w:pPr>
        <w:pStyle w:val="2"/>
        <w:outlineLvl w:val="3"/>
        <w:ind w:firstLine="540"/>
        <w:jc w:val="both"/>
      </w:pPr>
      <w:r>
        <w:rPr>
          <w:sz w:val="24"/>
        </w:rPr>
        <w:t xml:space="preserve">Статья 7. Цель классификации пожаров и опасных факторов пожара</w:t>
      </w:r>
    </w:p>
    <w:p>
      <w:pPr>
        <w:pStyle w:val="0"/>
        <w:ind w:firstLine="540"/>
        <w:jc w:val="both"/>
      </w:pPr>
      <w:r>
        <w:rPr>
          <w:sz w:val="24"/>
        </w:rPr>
      </w:r>
    </w:p>
    <w:p>
      <w:pPr>
        <w:pStyle w:val="0"/>
        <w:ind w:firstLine="540"/>
        <w:jc w:val="both"/>
      </w:pPr>
      <w:r>
        <w:rPr>
          <w:sz w:val="24"/>
        </w:rPr>
        <w:t xml:space="preserve">1. Классификация пожаров по виду горючего материала используется для обозначения области применения средств пожаротушения.</w:t>
      </w:r>
    </w:p>
    <w:p>
      <w:pPr>
        <w:pStyle w:val="0"/>
        <w:spacing w:before="240" w:line-rule="auto"/>
        <w:ind w:firstLine="540"/>
        <w:jc w:val="both"/>
      </w:pPr>
      <w:r>
        <w:rPr>
          <w:sz w:val="24"/>
        </w:rPr>
        <w:t xml:space="preserve">2. Классификация пожаров по сложности их тушения используется при определении состава сил и средств подразделений пожарной охраны и других служб, необходимых для тушения пожаров.</w:t>
      </w:r>
    </w:p>
    <w:p>
      <w:pPr>
        <w:pStyle w:val="0"/>
        <w:spacing w:before="240" w:line-rule="auto"/>
        <w:ind w:firstLine="540"/>
        <w:jc w:val="both"/>
      </w:pPr>
      <w:r>
        <w:rPr>
          <w:sz w:val="24"/>
        </w:rPr>
        <w:t xml:space="preserve">3. Классификация опасных факторов пожара используется при обосновании мер пожарной безопасности, необходимых для защиты людей и имущества при пожаре.</w:t>
      </w:r>
    </w:p>
    <w:p>
      <w:pPr>
        <w:pStyle w:val="0"/>
        <w:ind w:firstLine="540"/>
        <w:jc w:val="both"/>
      </w:pPr>
      <w:r>
        <w:rPr>
          <w:sz w:val="24"/>
        </w:rPr>
      </w:r>
    </w:p>
    <w:p>
      <w:pPr>
        <w:pStyle w:val="2"/>
        <w:outlineLvl w:val="3"/>
        <w:ind w:firstLine="540"/>
        <w:jc w:val="both"/>
      </w:pPr>
      <w:r>
        <w:rPr>
          <w:sz w:val="24"/>
        </w:rPr>
        <w:t xml:space="preserve">Статья 8. Классификация пожаров</w:t>
      </w:r>
    </w:p>
    <w:p>
      <w:pPr>
        <w:pStyle w:val="0"/>
        <w:ind w:firstLine="540"/>
        <w:jc w:val="both"/>
      </w:pPr>
      <w:r>
        <w:rPr>
          <w:sz w:val="24"/>
        </w:rPr>
      </w:r>
    </w:p>
    <w:p>
      <w:pPr>
        <w:pStyle w:val="0"/>
        <w:ind w:firstLine="540"/>
        <w:jc w:val="both"/>
      </w:pPr>
      <w:r>
        <w:rPr>
          <w:sz w:val="24"/>
        </w:rPr>
        <w:t xml:space="preserve">1</w:t>
      </w:r>
      <w:r>
        <w:rPr>
          <w:sz w:val="24"/>
        </w:rPr>
        <w:t xml:space="preserve">. Пожары классифицируются по виду горючего материала и подразделяются на следующие основные классы:</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 пожары твердых горючих веществ и материалов (A);</w:t>
      </w:r>
    </w:p>
    <w:p>
      <w:pPr>
        <w:pStyle w:val="0"/>
        <w:spacing w:before="240" w:line-rule="auto"/>
        <w:ind w:firstLine="540"/>
        <w:jc w:val="both"/>
      </w:pPr>
      <w:r>
        <w:rPr>
          <w:sz w:val="24"/>
        </w:rPr>
        <w:t xml:space="preserve">2) пожары горючих жидкостей или плавящихся твердых веществ и материалов (B);</w:t>
      </w:r>
    </w:p>
    <w:p>
      <w:pPr>
        <w:pStyle w:val="0"/>
        <w:spacing w:before="240" w:line-rule="auto"/>
        <w:ind w:firstLine="540"/>
        <w:jc w:val="both"/>
      </w:pPr>
      <w:r>
        <w:rPr>
          <w:sz w:val="24"/>
        </w:rPr>
        <w:t xml:space="preserve">3) пожары газов (C);</w:t>
      </w:r>
    </w:p>
    <w:p>
      <w:pPr>
        <w:pStyle w:val="0"/>
        <w:spacing w:before="240" w:line-rule="auto"/>
        <w:ind w:firstLine="540"/>
        <w:jc w:val="both"/>
      </w:pPr>
      <w:r>
        <w:rPr>
          <w:sz w:val="24"/>
        </w:rPr>
        <w:t xml:space="preserve">4) пожары металлов (D);</w:t>
      </w:r>
    </w:p>
    <w:p>
      <w:pPr>
        <w:pStyle w:val="0"/>
        <w:spacing w:before="240" w:line-rule="auto"/>
        <w:ind w:firstLine="540"/>
        <w:jc w:val="both"/>
      </w:pPr>
      <w:r>
        <w:rPr>
          <w:sz w:val="24"/>
        </w:rPr>
        <w:t xml:space="preserve">5) пожары горючих веществ и материалов электроустановок, находящихся под напряжением (E);</w:t>
      </w:r>
    </w:p>
    <w:p>
      <w:pPr>
        <w:pStyle w:val="0"/>
        <w:spacing w:before="240" w:line-rule="auto"/>
        <w:ind w:firstLine="540"/>
        <w:jc w:val="both"/>
      </w:pPr>
      <w:r>
        <w:rPr>
          <w:sz w:val="24"/>
        </w:rPr>
        <w:t xml:space="preserve">6) пожары ядерных материалов, радиоактивных отходов и радиоактивных веществ (F).</w:t>
      </w:r>
    </w:p>
    <w:p>
      <w:pPr>
        <w:pStyle w:val="0"/>
        <w:spacing w:before="240" w:line-rule="auto"/>
        <w:ind w:firstLine="540"/>
        <w:jc w:val="both"/>
      </w:pPr>
      <w:r>
        <w:rPr>
          <w:sz w:val="24"/>
        </w:rPr>
        <w:t xml:space="preserve">2. Дополнительные классы и подклассы пожаров могут быть установлены нормативными документами по пожарной безопасности.</w:t>
      </w:r>
    </w:p>
    <w:p>
      <w:pPr>
        <w:pStyle w:val="0"/>
        <w:jc w:val="both"/>
      </w:pPr>
      <w:r>
        <w:rPr>
          <w:sz w:val="24"/>
        </w:rPr>
        <w:t xml:space="preserve">(часть 2 введена Федеральным </w:t>
      </w:r>
      <w:r>
        <w:rPr>
          <w:sz w:val="24"/>
        </w:rPr>
        <w:t xml:space="preserve">законом</w:t>
      </w:r>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9. Опасные факторы пожара</w:t>
      </w:r>
    </w:p>
    <w:p>
      <w:pPr>
        <w:pStyle w:val="0"/>
        <w:ind w:firstLine="540"/>
        <w:jc w:val="both"/>
      </w:pPr>
      <w:r>
        <w:rPr>
          <w:sz w:val="24"/>
        </w:rPr>
      </w:r>
    </w:p>
    <w:p>
      <w:pPr>
        <w:pStyle w:val="0"/>
        <w:ind w:firstLine="540"/>
        <w:jc w:val="both"/>
      </w:pPr>
      <w:r>
        <w:rPr>
          <w:sz w:val="24"/>
        </w:rPr>
        <w:t xml:space="preserve">1. К опасным факторам пожара, воздействующим на людей и имущество, относятся:</w:t>
      </w:r>
    </w:p>
    <w:p>
      <w:pPr>
        <w:pStyle w:val="0"/>
        <w:spacing w:before="240" w:line-rule="auto"/>
        <w:ind w:firstLine="540"/>
        <w:jc w:val="both"/>
      </w:pPr>
      <w:r>
        <w:rPr>
          <w:sz w:val="24"/>
        </w:rPr>
        <w:t xml:space="preserve">1) пламя и искры;</w:t>
      </w:r>
    </w:p>
    <w:p>
      <w:pPr>
        <w:pStyle w:val="0"/>
        <w:spacing w:before="240" w:line-rule="auto"/>
        <w:ind w:firstLine="540"/>
        <w:jc w:val="both"/>
      </w:pPr>
      <w:r>
        <w:rPr>
          <w:sz w:val="24"/>
        </w:rPr>
        <w:t xml:space="preserve">2) тепловой поток;</w:t>
      </w:r>
    </w:p>
    <w:p>
      <w:pPr>
        <w:pStyle w:val="0"/>
        <w:spacing w:before="240" w:line-rule="auto"/>
        <w:ind w:firstLine="540"/>
        <w:jc w:val="both"/>
      </w:pPr>
      <w:r>
        <w:rPr>
          <w:sz w:val="24"/>
        </w:rPr>
        <w:t xml:space="preserve">3) повышенная температура окружающей среды;</w:t>
      </w:r>
    </w:p>
    <w:p>
      <w:pPr>
        <w:pStyle w:val="0"/>
        <w:spacing w:before="240" w:line-rule="auto"/>
        <w:ind w:firstLine="540"/>
        <w:jc w:val="both"/>
      </w:pPr>
      <w:r>
        <w:rPr>
          <w:sz w:val="24"/>
        </w:rPr>
        <w:t xml:space="preserve">4) повышенная концентрация токсичных продуктов горения и термического разложения;</w:t>
      </w:r>
    </w:p>
    <w:p>
      <w:pPr>
        <w:pStyle w:val="0"/>
        <w:spacing w:before="240" w:line-rule="auto"/>
        <w:ind w:firstLine="540"/>
        <w:jc w:val="both"/>
      </w:pPr>
      <w:r>
        <w:rPr>
          <w:sz w:val="24"/>
        </w:rPr>
        <w:t xml:space="preserve">5) пониженная концентрация кислорода;</w:t>
      </w:r>
    </w:p>
    <w:p>
      <w:pPr>
        <w:pStyle w:val="0"/>
        <w:spacing w:before="240" w:line-rule="auto"/>
        <w:ind w:firstLine="540"/>
        <w:jc w:val="both"/>
      </w:pPr>
      <w:r>
        <w:rPr>
          <w:sz w:val="24"/>
        </w:rPr>
        <w:t xml:space="preserve">6) снижение видимости в дыму.</w:t>
      </w:r>
    </w:p>
    <w:p>
      <w:pPr>
        <w:pStyle w:val="0"/>
        <w:spacing w:before="240" w:line-rule="auto"/>
        <w:ind w:firstLine="540"/>
        <w:jc w:val="both"/>
      </w:pPr>
      <w:r>
        <w:rPr>
          <w:sz w:val="24"/>
        </w:rPr>
        <w:t xml:space="preserve">2. К сопутствующим проявлениям опасных факторов пожара относятся:</w:t>
      </w:r>
    </w:p>
    <w:p>
      <w:pPr>
        <w:pStyle w:val="0"/>
        <w:spacing w:before="240" w:line-rule="auto"/>
        <w:ind w:firstLine="540"/>
        <w:jc w:val="both"/>
      </w:pPr>
      <w:r>
        <w:rPr>
          <w:sz w:val="24"/>
        </w:rPr>
        <w:t xml:space="preserve">1) осколки, части разрушившихся зданий, сооружений, транспортных средств, технологических установок, оборудования, агрегатов, изделий и иного имущества;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pPr>
        <w:pStyle w:val="0"/>
        <w:spacing w:before="240" w:line-rule="auto"/>
        <w:ind w:firstLine="540"/>
        <w:jc w:val="both"/>
      </w:pPr>
      <w:r>
        <w:rPr>
          <w:sz w:val="24"/>
        </w:rPr>
        <w:t xml:space="preserve">3) вынос высокого напряжения на токопроводящие части технологических установок, оборудования, агрегатов, изделий и иного имущества;</w:t>
      </w:r>
    </w:p>
    <w:p>
      <w:pPr>
        <w:pStyle w:val="0"/>
        <w:spacing w:before="240" w:line-rule="auto"/>
        <w:ind w:firstLine="540"/>
        <w:jc w:val="both"/>
      </w:pPr>
      <w:r>
        <w:rPr>
          <w:sz w:val="24"/>
        </w:rPr>
        <w:t xml:space="preserve">4) опасные факторы взрыва, происшедшего вследствие пожара;</w:t>
      </w:r>
    </w:p>
    <w:p>
      <w:pPr>
        <w:pStyle w:val="0"/>
        <w:spacing w:before="240" w:line-rule="auto"/>
        <w:ind w:firstLine="540"/>
        <w:jc w:val="both"/>
      </w:pPr>
      <w:r>
        <w:rPr>
          <w:sz w:val="24"/>
        </w:rPr>
        <w:t xml:space="preserve">5) воздействие огнетушащих веществ.</w:t>
      </w:r>
    </w:p>
    <w:p>
      <w:pPr>
        <w:pStyle w:val="0"/>
        <w:ind w:firstLine="540"/>
        <w:jc w:val="both"/>
      </w:pPr>
      <w:r>
        <w:rPr>
          <w:sz w:val="24"/>
        </w:rPr>
      </w:r>
    </w:p>
    <w:p>
      <w:pPr>
        <w:pStyle w:val="2"/>
        <w:outlineLvl w:val="2"/>
        <w:jc w:val="center"/>
      </w:pPr>
      <w:r>
        <w:rPr>
          <w:sz w:val="24"/>
        </w:rPr>
        <w:t xml:space="preserve">Глава 3. ПОКАЗАТЕЛИ И КЛАССИФИКАЦИЯ ПОЖАРОВЗРЫВООПАСНОСТИ</w:t>
      </w:r>
    </w:p>
    <w:p>
      <w:pPr>
        <w:pStyle w:val="2"/>
        <w:jc w:val="center"/>
      </w:pPr>
      <w:r>
        <w:rPr>
          <w:sz w:val="24"/>
        </w:rPr>
        <w:t xml:space="preserve">И ПОЖАРНОЙ ОПАСНОСТИ ВЕЩЕСТВ И МАТЕРИАЛОВ</w:t>
      </w:r>
    </w:p>
    <w:p>
      <w:pPr>
        <w:pStyle w:val="0"/>
        <w:ind w:firstLine="540"/>
        <w:jc w:val="both"/>
      </w:pPr>
      <w:r>
        <w:rPr>
          <w:sz w:val="24"/>
        </w:rPr>
      </w:r>
    </w:p>
    <w:p>
      <w:pPr>
        <w:pStyle w:val="2"/>
        <w:outlineLvl w:val="3"/>
        <w:ind w:firstLine="540"/>
        <w:jc w:val="both"/>
      </w:pPr>
      <w:r>
        <w:rPr>
          <w:sz w:val="24"/>
        </w:rPr>
        <w:t xml:space="preserve">Статья 10. Цель классификации веществ и материалов по пожаровзрывоопасности и пожарной опасности</w:t>
      </w:r>
    </w:p>
    <w:p>
      <w:pPr>
        <w:pStyle w:val="0"/>
        <w:ind w:firstLine="540"/>
        <w:jc w:val="both"/>
      </w:pPr>
      <w:r>
        <w:rPr>
          <w:sz w:val="24"/>
        </w:rPr>
      </w:r>
    </w:p>
    <w:p>
      <w:pPr>
        <w:pStyle w:val="0"/>
        <w:ind w:firstLine="540"/>
        <w:jc w:val="both"/>
      </w:pPr>
      <w:r>
        <w:rPr>
          <w:sz w:val="24"/>
        </w:rPr>
        <w:t xml:space="preserve">1. Классификация веществ и материалов по пожаровзрывоопасности и пожарной опасности используется для установления требований пожарной безопасности при получении веществ и материалов, применении, хранении, транспортировании, переработке и утилизации.</w:t>
      </w:r>
    </w:p>
    <w:p>
      <w:pPr>
        <w:pStyle w:val="0"/>
        <w:spacing w:before="240" w:line-rule="auto"/>
        <w:ind w:firstLine="540"/>
        <w:jc w:val="both"/>
      </w:pPr>
      <w:r>
        <w:rPr>
          <w:sz w:val="24"/>
        </w:rPr>
        <w:t xml:space="preserve">2. Для установления требований пожарной безопасности к конструкции зданий, сооружений и системам противопожарной защиты используется классификация строительных материалов по пожарной 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bookmarkStart w:id="220" w:name="P220"/>
    <w:bookmarkEnd w:id="220"/>
    <w:p>
      <w:pPr>
        <w:pStyle w:val="2"/>
        <w:outlineLvl w:val="3"/>
        <w:ind w:firstLine="540"/>
        <w:jc w:val="both"/>
      </w:pPr>
      <w:r>
        <w:rPr>
          <w:sz w:val="24"/>
        </w:rPr>
        <w:t xml:space="preserve">Статья 11. Показатели пожаровзрывоопасности и пожарной опасности веществ и материалов</w:t>
      </w:r>
    </w:p>
    <w:p>
      <w:pPr>
        <w:pStyle w:val="0"/>
        <w:ind w:firstLine="540"/>
        <w:jc w:val="both"/>
      </w:pPr>
      <w:r>
        <w:rPr>
          <w:sz w:val="24"/>
        </w:rPr>
      </w:r>
    </w:p>
    <w:p>
      <w:pPr>
        <w:pStyle w:val="0"/>
        <w:ind w:firstLine="540"/>
        <w:jc w:val="both"/>
      </w:pPr>
      <w:r>
        <w:rPr>
          <w:sz w:val="24"/>
        </w:rPr>
        <w:t xml:space="preserve">1. Перечень показателей для оценки пожаровзрывоопасности и пожарной опасности веществ и материалов в зависимости от их агрегатного состояния приведен в </w:t>
      </w:r>
      <w:hyperlink w:history="0" w:anchor="P2006" w:tooltip="Перечень показателей для оценки">
        <w:r>
          <w:rPr>
            <w:sz w:val="24"/>
            <w:color w:val="0000ff"/>
          </w:rPr>
          <w:t xml:space="preserve">таблице 1</w:t>
        </w:r>
      </w:hyperlink>
      <w:r>
        <w:rPr>
          <w:sz w:val="24"/>
        </w:rPr>
        <w:t xml:space="preserve"> приложения к настоящему Федеральному закону.</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w:t>
      </w:r>
      <w:r>
        <w:rPr>
          <w:sz w:val="24"/>
        </w:rPr>
        <w:t xml:space="preserve">Методы</w:t>
      </w:r>
      <w:r>
        <w:rPr>
          <w:sz w:val="24"/>
        </w:rPr>
        <w:t xml:space="preserve"> определения показателей пожаровзрывоопасности и пожарной опасности веществ и материалов, приведенных в </w:t>
      </w:r>
      <w:hyperlink w:history="0" w:anchor="P2006" w:tooltip="Перечень показателей для оценки">
        <w:r>
          <w:rPr>
            <w:sz w:val="24"/>
            <w:color w:val="0000ff"/>
          </w:rPr>
          <w:t xml:space="preserve">таблице 1</w:t>
        </w:r>
      </w:hyperlink>
      <w:r>
        <w:rPr>
          <w:sz w:val="24"/>
        </w:rPr>
        <w:t xml:space="preserve"> приложения к настоящему Федеральному закону, устанавливаются нормативными документами по пожарной безопасности.</w:t>
      </w:r>
    </w:p>
    <w:p>
      <w:pPr>
        <w:pStyle w:val="0"/>
        <w:spacing w:before="240" w:line-rule="auto"/>
        <w:ind w:firstLine="540"/>
        <w:jc w:val="both"/>
      </w:pPr>
      <w:r>
        <w:rPr>
          <w:sz w:val="24"/>
        </w:rPr>
        <w:t xml:space="preserve">3. Показатели пожаровзрывоопасности и пожарной опасности веществ и материалов используются для установления требований к применению веществ и материалов и расчета пожарного риска.</w:t>
      </w:r>
    </w:p>
    <w:p>
      <w:pPr>
        <w:pStyle w:val="0"/>
        <w:ind w:firstLine="540"/>
        <w:jc w:val="both"/>
      </w:pPr>
      <w:r>
        <w:rPr>
          <w:sz w:val="24"/>
        </w:rPr>
      </w:r>
    </w:p>
    <w:p>
      <w:pPr>
        <w:pStyle w:val="2"/>
        <w:outlineLvl w:val="3"/>
        <w:ind w:firstLine="540"/>
        <w:jc w:val="both"/>
      </w:pPr>
      <w:r>
        <w:rPr>
          <w:sz w:val="24"/>
        </w:rPr>
        <w:t xml:space="preserve">Статья 12. Классификация веществ и материалов (за исключением строительных, текстильных и кожевенных материалов) по пожарной опасности</w:t>
      </w:r>
    </w:p>
    <w:p>
      <w:pPr>
        <w:pStyle w:val="0"/>
        <w:ind w:firstLine="540"/>
        <w:jc w:val="both"/>
      </w:pPr>
      <w:r>
        <w:rPr>
          <w:sz w:val="24"/>
        </w:rPr>
      </w:r>
    </w:p>
    <w:p>
      <w:pPr>
        <w:pStyle w:val="0"/>
        <w:ind w:firstLine="540"/>
        <w:jc w:val="both"/>
      </w:pPr>
      <w:r>
        <w:rPr>
          <w:sz w:val="24"/>
        </w:rPr>
        <w:t xml:space="preserve">1. Классификация веществ и материалов по пожарной опасности основывается на их свойствах и способности к образованию опасных факторов пожара или взрыва.</w:t>
      </w:r>
    </w:p>
    <w:p>
      <w:pPr>
        <w:pStyle w:val="0"/>
        <w:spacing w:before="240" w:line-rule="auto"/>
        <w:ind w:firstLine="540"/>
        <w:jc w:val="both"/>
      </w:pPr>
      <w:r>
        <w:rPr>
          <w:sz w:val="24"/>
        </w:rPr>
        <w:t xml:space="preserve">2. По горючести вещества и материалы подразделяются на следующие группы:</w:t>
      </w:r>
    </w:p>
    <w:p>
      <w:pPr>
        <w:pStyle w:val="0"/>
        <w:spacing w:before="240" w:line-rule="auto"/>
        <w:ind w:firstLine="540"/>
        <w:jc w:val="both"/>
      </w:pPr>
      <w:r>
        <w:rPr>
          <w:sz w:val="24"/>
        </w:rPr>
        <w:t xml:space="preserve">1) негорючие - вещества и материалы, неспособные гореть в воздушной среде. Негорючие вещества могут быть пожаровзрывоопасными (например, окислители или вещества, выделяющие горючие продукты при взаимодействии с водой или друг с другом);</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трудногорючие - вещества и материалы, способные гореть в воздушной среде при воздействии источника зажигания, но неспособные самостоятельно гореть после его удаления;</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p>
      <w:pPr>
        <w:pStyle w:val="0"/>
        <w:spacing w:before="240" w:line-rule="auto"/>
        <w:ind w:firstLine="540"/>
        <w:jc w:val="both"/>
      </w:pPr>
      <w:r>
        <w:rPr>
          <w:sz w:val="24"/>
        </w:rPr>
        <w:t xml:space="preserve">3. </w:t>
      </w:r>
      <w:r>
        <w:rPr>
          <w:sz w:val="24"/>
        </w:rPr>
        <w:t xml:space="preserve">Методы</w:t>
      </w:r>
      <w:r>
        <w:rPr>
          <w:sz w:val="24"/>
        </w:rPr>
        <w:t xml:space="preserve"> испытаний на горючесть веществ и материалов устанавливаются нормативными документами по пожарной безопасности.</w:t>
      </w:r>
    </w:p>
    <w:p>
      <w:pPr>
        <w:pStyle w:val="0"/>
        <w:spacing w:before="240" w:line-rule="auto"/>
        <w:ind w:firstLine="540"/>
        <w:jc w:val="both"/>
      </w:pPr>
      <w:r>
        <w:rPr>
          <w:sz w:val="24"/>
        </w:rPr>
        <w:t xml:space="preserve">4. Из горючих жидкостей выделяют группы легковоспламеняющихся и особо опасных легковоспламеняющихся жидкостей, воспламенение паров которых происходит при низких температурах, определенных нормативными документами по пожарной безопасности.</w:t>
      </w:r>
    </w:p>
    <w:p>
      <w:pPr>
        <w:pStyle w:val="0"/>
        <w:ind w:firstLine="540"/>
        <w:jc w:val="both"/>
      </w:pPr>
      <w:r>
        <w:rPr>
          <w:sz w:val="24"/>
        </w:rPr>
      </w:r>
    </w:p>
    <w:p>
      <w:pPr>
        <w:pStyle w:val="2"/>
        <w:outlineLvl w:val="3"/>
        <w:ind w:firstLine="540"/>
        <w:jc w:val="both"/>
      </w:pPr>
      <w:r>
        <w:rPr>
          <w:sz w:val="24"/>
        </w:rPr>
        <w:t xml:space="preserve">Статья 13. Классификация строительных, текстильных и кожевенных материалов по пожарной опасности</w:t>
      </w:r>
    </w:p>
    <w:p>
      <w:pPr>
        <w:pStyle w:val="0"/>
        <w:ind w:firstLine="540"/>
        <w:jc w:val="both"/>
      </w:pPr>
      <w:r>
        <w:rPr>
          <w:sz w:val="24"/>
        </w:rPr>
      </w:r>
    </w:p>
    <w:p>
      <w:pPr>
        <w:pStyle w:val="0"/>
        <w:ind w:firstLine="540"/>
        <w:jc w:val="both"/>
      </w:pPr>
      <w:r>
        <w:rPr>
          <w:sz w:val="24"/>
        </w:rPr>
        <w:t xml:space="preserve">1.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p>
      <w:pPr>
        <w:pStyle w:val="0"/>
        <w:spacing w:before="240" w:line-rule="auto"/>
        <w:ind w:firstLine="540"/>
        <w:jc w:val="both"/>
      </w:pPr>
      <w:r>
        <w:rPr>
          <w:sz w:val="24"/>
        </w:rPr>
        <w:t xml:space="preserve">2. Пожарная опасность горючих строительных, текстильных и кожевенных материалов характеризуется следующими свойствами:</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 горючесть;</w:t>
      </w:r>
    </w:p>
    <w:p>
      <w:pPr>
        <w:pStyle w:val="0"/>
        <w:spacing w:before="240" w:line-rule="auto"/>
        <w:ind w:firstLine="540"/>
        <w:jc w:val="both"/>
      </w:pPr>
      <w:r>
        <w:rPr>
          <w:sz w:val="24"/>
        </w:rPr>
        <w:t xml:space="preserve">2) воспламеняемость;</w:t>
      </w:r>
    </w:p>
    <w:p>
      <w:pPr>
        <w:pStyle w:val="0"/>
        <w:spacing w:before="240" w:line-rule="auto"/>
        <w:ind w:firstLine="540"/>
        <w:jc w:val="both"/>
      </w:pPr>
      <w:r>
        <w:rPr>
          <w:sz w:val="24"/>
        </w:rPr>
        <w:t xml:space="preserve">3) способность распространения пламени по поверхности;</w:t>
      </w:r>
    </w:p>
    <w:p>
      <w:pPr>
        <w:pStyle w:val="0"/>
        <w:spacing w:before="240" w:line-rule="auto"/>
        <w:ind w:firstLine="540"/>
        <w:jc w:val="both"/>
      </w:pPr>
      <w:r>
        <w:rPr>
          <w:sz w:val="24"/>
        </w:rPr>
        <w:t xml:space="preserve">4) дымообразующая способность;</w:t>
      </w:r>
    </w:p>
    <w:p>
      <w:pPr>
        <w:pStyle w:val="0"/>
        <w:spacing w:before="240" w:line-rule="auto"/>
        <w:ind w:firstLine="540"/>
        <w:jc w:val="both"/>
      </w:pPr>
      <w:r>
        <w:rPr>
          <w:sz w:val="24"/>
        </w:rPr>
        <w:t xml:space="preserve">5) токсичность продуктов горения.</w:t>
      </w:r>
    </w:p>
    <w:p>
      <w:pPr>
        <w:pStyle w:val="0"/>
        <w:spacing w:before="240" w:line-rule="auto"/>
        <w:ind w:firstLine="540"/>
        <w:jc w:val="both"/>
      </w:pPr>
      <w:r>
        <w:rPr>
          <w:sz w:val="24"/>
        </w:rPr>
        <w:t xml:space="preserve">3. По горючести строительные материалы подразделяются на негорючие (НГ) и горючие (Г1 - Г4).</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4. Строительные материалы относятся к негорючим при следующих значениях параметров горючести, определяемых экспериментальным путем: прирост температуры - не более 50 градусов Цельсия, потеря массы образца - не более 50 процентов, продолжительность устойчивого пламенного горения - не более 10 секунд.</w:t>
      </w:r>
    </w:p>
    <w:p>
      <w:pPr>
        <w:pStyle w:val="0"/>
        <w:spacing w:before="240" w:line-rule="auto"/>
        <w:ind w:firstLine="540"/>
        <w:jc w:val="both"/>
      </w:pPr>
      <w:r>
        <w:rPr>
          <w:sz w:val="24"/>
        </w:rPr>
        <w:t xml:space="preserve">5. Горючие строительные материалы подразделяются на следующие группы:</w:t>
      </w:r>
    </w:p>
    <w:p>
      <w:pPr>
        <w:pStyle w:val="0"/>
        <w:spacing w:before="240" w:line-rule="auto"/>
        <w:ind w:firstLine="540"/>
        <w:jc w:val="both"/>
      </w:pPr>
      <w:r>
        <w:rPr>
          <w:sz w:val="24"/>
        </w:rPr>
        <w:t xml:space="preserve">1) слабогорючие (Г1);</w:t>
      </w:r>
    </w:p>
    <w:p>
      <w:pPr>
        <w:pStyle w:val="0"/>
        <w:spacing w:before="240" w:line-rule="auto"/>
        <w:ind w:firstLine="540"/>
        <w:jc w:val="both"/>
      </w:pPr>
      <w:r>
        <w:rPr>
          <w:sz w:val="24"/>
        </w:rPr>
        <w:t xml:space="preserve">2) умеренногорючие (Г2);</w:t>
      </w:r>
    </w:p>
    <w:p>
      <w:pPr>
        <w:pStyle w:val="0"/>
        <w:spacing w:before="240" w:line-rule="auto"/>
        <w:ind w:firstLine="540"/>
        <w:jc w:val="both"/>
      </w:pPr>
      <w:r>
        <w:rPr>
          <w:sz w:val="24"/>
        </w:rPr>
        <w:t xml:space="preserve">3) нормальногорючие (Г3);</w:t>
      </w:r>
    </w:p>
    <w:p>
      <w:pPr>
        <w:pStyle w:val="0"/>
        <w:spacing w:before="240" w:line-rule="auto"/>
        <w:ind w:firstLine="540"/>
        <w:jc w:val="both"/>
      </w:pPr>
      <w:r>
        <w:rPr>
          <w:sz w:val="24"/>
        </w:rPr>
        <w:t xml:space="preserve">4) сильногорючие (Г4).</w:t>
      </w:r>
    </w:p>
    <w:p>
      <w:pPr>
        <w:pStyle w:val="0"/>
        <w:jc w:val="both"/>
      </w:pPr>
      <w:r>
        <w:rPr>
          <w:sz w:val="24"/>
        </w:rPr>
        <w:t xml:space="preserve">(часть 5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6. Для горючих строительных материалов, относящихся к группам Г1 и Г2, при испытании не допускается образование капель расплава. Для горючих строительных материалов, относящихся к группе Г3, при испытании не допускается образование горящих капель расплава. Для негорючих строительных материалов другие показатели пожарной опасности не определяются и не нормируются.</w:t>
      </w:r>
    </w:p>
    <w:p>
      <w:pPr>
        <w:pStyle w:val="0"/>
        <w:jc w:val="both"/>
      </w:pPr>
      <w:r>
        <w:rPr>
          <w:sz w:val="24"/>
        </w:rPr>
        <w:t xml:space="preserve">(часть 6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7. 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pPr>
        <w:pStyle w:val="0"/>
        <w:spacing w:before="240" w:line-rule="auto"/>
        <w:ind w:firstLine="540"/>
        <w:jc w:val="both"/>
      </w:pPr>
      <w:r>
        <w:rPr>
          <w:sz w:val="24"/>
        </w:rPr>
        <w:t xml:space="preserve">1) трудновоспламеняемые (В1);</w:t>
      </w:r>
    </w:p>
    <w:p>
      <w:pPr>
        <w:pStyle w:val="0"/>
        <w:jc w:val="both"/>
      </w:pPr>
      <w:r>
        <w:rPr>
          <w:sz w:val="24"/>
        </w:rPr>
        <w:t xml:space="preserve">(п. 1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умеренновоспламеняемые (В2);</w:t>
      </w:r>
    </w:p>
    <w:p>
      <w:pPr>
        <w:pStyle w:val="0"/>
        <w:jc w:val="both"/>
      </w:pPr>
      <w:r>
        <w:rPr>
          <w:sz w:val="24"/>
        </w:rPr>
        <w:t xml:space="preserve">(п. 2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 легковоспламеняемые (В3).</w:t>
      </w:r>
    </w:p>
    <w:p>
      <w:pPr>
        <w:pStyle w:val="0"/>
        <w:jc w:val="both"/>
      </w:pPr>
      <w:r>
        <w:rPr>
          <w:sz w:val="24"/>
        </w:rPr>
        <w:t xml:space="preserve">(п. 3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8.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pPr>
        <w:pStyle w:val="0"/>
        <w:spacing w:before="240" w:line-rule="auto"/>
        <w:ind w:firstLine="540"/>
        <w:jc w:val="both"/>
      </w:pPr>
      <w:r>
        <w:rPr>
          <w:sz w:val="24"/>
        </w:rPr>
        <w:t xml:space="preserve">1) нераспространяющие (РП1);</w:t>
      </w:r>
    </w:p>
    <w:p>
      <w:pPr>
        <w:pStyle w:val="0"/>
        <w:jc w:val="both"/>
      </w:pPr>
      <w:r>
        <w:rPr>
          <w:sz w:val="24"/>
        </w:rPr>
        <w:t xml:space="preserve">(п. 1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слабораспространяющие (РП2);</w:t>
      </w:r>
    </w:p>
    <w:p>
      <w:pPr>
        <w:pStyle w:val="0"/>
        <w:jc w:val="both"/>
      </w:pPr>
      <w:r>
        <w:rPr>
          <w:sz w:val="24"/>
        </w:rPr>
        <w:t xml:space="preserve">(п. 2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 умереннораспространяющие (РП3);</w:t>
      </w:r>
    </w:p>
    <w:p>
      <w:pPr>
        <w:pStyle w:val="0"/>
        <w:jc w:val="both"/>
      </w:pPr>
      <w:r>
        <w:rPr>
          <w:sz w:val="24"/>
        </w:rPr>
        <w:t xml:space="preserve">(п. 3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4) сильнораспространяющие (РП4).</w:t>
      </w:r>
    </w:p>
    <w:p>
      <w:pPr>
        <w:pStyle w:val="0"/>
        <w:jc w:val="both"/>
      </w:pPr>
      <w:r>
        <w:rPr>
          <w:sz w:val="24"/>
        </w:rPr>
        <w:t xml:space="preserve">(п. 4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9. По дымообразующей способности горючие строительные, текстильные и кожевенные материалы в зависимости от значения коэффициента дымообразования подразделяются на следующие группы:</w:t>
      </w:r>
    </w:p>
    <w:p>
      <w:pPr>
        <w:pStyle w:val="0"/>
        <w:spacing w:before="240" w:line-rule="auto"/>
        <w:ind w:firstLine="540"/>
        <w:jc w:val="both"/>
      </w:pPr>
      <w:r>
        <w:rPr>
          <w:sz w:val="24"/>
        </w:rPr>
        <w:t xml:space="preserve">1) с малой дымообразующей способностью (Д1);</w:t>
      </w:r>
    </w:p>
    <w:p>
      <w:pPr>
        <w:pStyle w:val="0"/>
        <w:spacing w:before="240" w:line-rule="auto"/>
        <w:ind w:firstLine="540"/>
        <w:jc w:val="both"/>
      </w:pPr>
      <w:r>
        <w:rPr>
          <w:sz w:val="24"/>
        </w:rPr>
        <w:t xml:space="preserve">2) с умеренной дымообразующей способностью (Д2);</w:t>
      </w:r>
    </w:p>
    <w:p>
      <w:pPr>
        <w:pStyle w:val="0"/>
        <w:spacing w:before="240" w:line-rule="auto"/>
        <w:ind w:firstLine="540"/>
        <w:jc w:val="both"/>
      </w:pPr>
      <w:r>
        <w:rPr>
          <w:sz w:val="24"/>
        </w:rPr>
        <w:t xml:space="preserve">3) с высокой дымообразующей способностью (Д3).</w:t>
      </w:r>
    </w:p>
    <w:p>
      <w:pPr>
        <w:pStyle w:val="0"/>
        <w:jc w:val="both"/>
      </w:pPr>
      <w:r>
        <w:rPr>
          <w:sz w:val="24"/>
        </w:rPr>
        <w:t xml:space="preserve">(часть 9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10. По токсичности продуктов горения горючие строительные, текстильные и кожевенные материалы подразделяются на следующие группы:</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 малоопасные (Т1);</w:t>
      </w:r>
    </w:p>
    <w:p>
      <w:pPr>
        <w:pStyle w:val="0"/>
        <w:spacing w:before="240" w:line-rule="auto"/>
        <w:ind w:firstLine="540"/>
        <w:jc w:val="both"/>
      </w:pPr>
      <w:r>
        <w:rPr>
          <w:sz w:val="24"/>
        </w:rPr>
        <w:t xml:space="preserve">2) умеренноопасные (Т2);</w:t>
      </w:r>
    </w:p>
    <w:p>
      <w:pPr>
        <w:pStyle w:val="0"/>
        <w:spacing w:before="240" w:line-rule="auto"/>
        <w:ind w:firstLine="540"/>
        <w:jc w:val="both"/>
      </w:pPr>
      <w:r>
        <w:rPr>
          <w:sz w:val="24"/>
        </w:rPr>
        <w:t xml:space="preserve">3) высокоопасные (Т3);</w:t>
      </w:r>
    </w:p>
    <w:p>
      <w:pPr>
        <w:pStyle w:val="0"/>
        <w:spacing w:before="240" w:line-rule="auto"/>
        <w:ind w:firstLine="540"/>
        <w:jc w:val="both"/>
      </w:pPr>
      <w:r>
        <w:rPr>
          <w:sz w:val="24"/>
        </w:rPr>
        <w:t xml:space="preserve">4) чрезвычайно опасные (Т4).</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12. Для напольных ковровых покрытий группа горючести не определяется.</w:t>
      </w:r>
    </w:p>
    <w:p>
      <w:pPr>
        <w:pStyle w:val="0"/>
        <w:spacing w:before="240" w:line-rule="auto"/>
        <w:ind w:firstLine="540"/>
        <w:jc w:val="both"/>
      </w:pPr>
      <w:r>
        <w:rPr>
          <w:sz w:val="24"/>
        </w:rPr>
        <w:t xml:space="preserve">13. Текстильные и кожевенные материалы по воспламеняемости подразделяются на легковоспламеняемые и трудновоспламеняемые.</w:t>
      </w:r>
    </w:p>
    <w:p>
      <w:pPr>
        <w:pStyle w:val="0"/>
        <w:jc w:val="both"/>
      </w:pPr>
      <w:r>
        <w:rPr>
          <w:sz w:val="24"/>
        </w:rPr>
        <w:t xml:space="preserve">(часть 13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14. Для классификации текстильных и кожевенных материалов следует применять значение индекса распространения пламени (I) - условного безразмерного показателя, характеризующего способность материалов или веществ воспламеняться, распространять пламя по поверхности и выделять тепло. По распространению пламени материалы подразделяются на следующие группы:</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 не распространяющие пламя по поверхности;</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медленно распространяющие пламя по поверхности;</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 быстро распространяющие пламя по поверхности.</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15. </w:t>
      </w:r>
      <w:r>
        <w:rPr>
          <w:sz w:val="24"/>
        </w:rPr>
        <w:t xml:space="preserve">Методы</w:t>
      </w:r>
      <w:r>
        <w:rPr>
          <w:sz w:val="24"/>
        </w:rPr>
        <w:t xml:space="preserve"> испытаний по определению классификационных показателей пожарной опасности строительных, текстильных и кожевенных материалов устанавливаются нормативными документами по пожарной безопасности.</w:t>
      </w:r>
    </w:p>
    <w:p>
      <w:pPr>
        <w:pStyle w:val="0"/>
        <w:ind w:firstLine="540"/>
        <w:jc w:val="both"/>
      </w:pPr>
      <w:r>
        <w:rPr>
          <w:sz w:val="24"/>
        </w:rPr>
      </w:r>
    </w:p>
    <w:p>
      <w:pPr>
        <w:pStyle w:val="2"/>
        <w:outlineLvl w:val="2"/>
        <w:jc w:val="center"/>
      </w:pPr>
      <w:r>
        <w:rPr>
          <w:sz w:val="24"/>
        </w:rPr>
        <w:t xml:space="preserve">Глава 4. ПОКАЗАТЕЛИ ПОЖАРОВЗРЫВООПАСНОСТИ</w:t>
      </w:r>
    </w:p>
    <w:p>
      <w:pPr>
        <w:pStyle w:val="2"/>
        <w:jc w:val="center"/>
      </w:pPr>
      <w:r>
        <w:rPr>
          <w:sz w:val="24"/>
        </w:rPr>
        <w:t xml:space="preserve">И ПОЖАРНОЙ ОПАСНОСТИ И КЛАССИФИКАЦИЯ ТЕХНОЛОГИЧЕСКИХ СРЕД</w:t>
      </w:r>
    </w:p>
    <w:p>
      <w:pPr>
        <w:pStyle w:val="2"/>
        <w:jc w:val="center"/>
      </w:pPr>
      <w:r>
        <w:rPr>
          <w:sz w:val="24"/>
        </w:rPr>
        <w:t xml:space="preserve">ПО ПОЖАРОВЗРЫВООПАСНОСТИ И ПОЖАРНОЙ ОПАСНОСТИ</w:t>
      </w:r>
    </w:p>
    <w:p>
      <w:pPr>
        <w:pStyle w:val="0"/>
        <w:ind w:firstLine="540"/>
        <w:jc w:val="both"/>
      </w:pPr>
      <w:r>
        <w:rPr>
          <w:sz w:val="24"/>
        </w:rPr>
      </w:r>
    </w:p>
    <w:p>
      <w:pPr>
        <w:pStyle w:val="2"/>
        <w:outlineLvl w:val="3"/>
        <w:ind w:firstLine="540"/>
        <w:jc w:val="both"/>
      </w:pPr>
      <w:r>
        <w:rPr>
          <w:sz w:val="24"/>
        </w:rPr>
        <w:t xml:space="preserve">Статья 14. Цель классификации технологических сред по пожаровзрывоопасности и пожарной опасности</w:t>
      </w:r>
    </w:p>
    <w:p>
      <w:pPr>
        <w:pStyle w:val="0"/>
        <w:ind w:firstLine="540"/>
        <w:jc w:val="both"/>
      </w:pPr>
      <w:r>
        <w:rPr>
          <w:sz w:val="24"/>
        </w:rPr>
      </w:r>
    </w:p>
    <w:p>
      <w:pPr>
        <w:pStyle w:val="0"/>
        <w:ind w:firstLine="540"/>
        <w:jc w:val="both"/>
      </w:pPr>
      <w:r>
        <w:rPr>
          <w:sz w:val="24"/>
        </w:rPr>
        <w:t xml:space="preserve">Классификация технологических сред по пожаровзрывоопасности и пожарной опасности используется для установления безопасных параметров ведения технологического процесса.</w:t>
      </w:r>
    </w:p>
    <w:p>
      <w:pPr>
        <w:pStyle w:val="0"/>
        <w:ind w:firstLine="540"/>
        <w:jc w:val="both"/>
      </w:pPr>
      <w:r>
        <w:rPr>
          <w:sz w:val="24"/>
        </w:rPr>
      </w:r>
    </w:p>
    <w:p>
      <w:pPr>
        <w:pStyle w:val="2"/>
        <w:outlineLvl w:val="3"/>
        <w:ind w:firstLine="540"/>
        <w:jc w:val="both"/>
      </w:pPr>
      <w:r>
        <w:rPr>
          <w:sz w:val="24"/>
        </w:rPr>
        <w:t xml:space="preserve">Статья 15. Показатели пожаровзрывоопасности и пожарной опасности технологических сред</w:t>
      </w:r>
    </w:p>
    <w:p>
      <w:pPr>
        <w:pStyle w:val="0"/>
        <w:ind w:firstLine="540"/>
        <w:jc w:val="both"/>
      </w:pPr>
      <w:r>
        <w:rPr>
          <w:sz w:val="24"/>
        </w:rPr>
      </w:r>
    </w:p>
    <w:p>
      <w:pPr>
        <w:pStyle w:val="0"/>
        <w:ind w:firstLine="540"/>
        <w:jc w:val="both"/>
      </w:pPr>
      <w:r>
        <w:rPr>
          <w:sz w:val="24"/>
        </w:rPr>
        <w:t xml:space="preserve">1. Пожаровзрывоопасность и пожарная опасность технологических сред характеризуется показателями пожаровзрывоопасности и пожарной опасности веществ, обращающихся в технологическом процессе, и параметрами технологического процесса. Перечень показателей, необходимых для оценки пожаровзрывоопасности и пожарной опасности веществ, приведен в </w:t>
      </w:r>
      <w:hyperlink w:history="0" w:anchor="P2006" w:tooltip="Перечень показателей для оценки">
        <w:r>
          <w:rPr>
            <w:sz w:val="24"/>
            <w:color w:val="0000ff"/>
          </w:rPr>
          <w:t xml:space="preserve">таблице 1</w:t>
        </w:r>
      </w:hyperlink>
      <w:r>
        <w:rPr>
          <w:sz w:val="24"/>
        </w:rPr>
        <w:t xml:space="preserve"> приложения к настоящему Федеральному закону.</w:t>
      </w:r>
    </w:p>
    <w:p>
      <w:pPr>
        <w:pStyle w:val="0"/>
        <w:spacing w:before="240" w:line-rule="auto"/>
        <w:ind w:firstLine="540"/>
        <w:jc w:val="both"/>
      </w:pPr>
      <w:r>
        <w:rPr>
          <w:sz w:val="24"/>
        </w:rPr>
        <w:t xml:space="preserve">2. </w:t>
      </w:r>
      <w:r>
        <w:rPr>
          <w:sz w:val="24"/>
        </w:rPr>
        <w:t xml:space="preserve">Методы</w:t>
      </w:r>
      <w:r>
        <w:rPr>
          <w:sz w:val="24"/>
        </w:rPr>
        <w:t xml:space="preserve"> определения показателей пожаровзрывоопасности и пожарной опасности веществ, входящих в состав технологических сред, устанавливаются нормативными документами по пожарной безопасности.</w:t>
      </w:r>
    </w:p>
    <w:p>
      <w:pPr>
        <w:pStyle w:val="0"/>
        <w:ind w:firstLine="540"/>
        <w:jc w:val="both"/>
      </w:pPr>
      <w:r>
        <w:rPr>
          <w:sz w:val="24"/>
        </w:rPr>
      </w:r>
    </w:p>
    <w:p>
      <w:pPr>
        <w:pStyle w:val="2"/>
        <w:outlineLvl w:val="3"/>
        <w:ind w:firstLine="540"/>
        <w:jc w:val="both"/>
      </w:pPr>
      <w:r>
        <w:rPr>
          <w:sz w:val="24"/>
        </w:rPr>
        <w:t xml:space="preserve">Статья 16. Классификация технологических сред по пожаровзрывоопасности</w:t>
      </w:r>
    </w:p>
    <w:p>
      <w:pPr>
        <w:pStyle w:val="0"/>
        <w:ind w:firstLine="540"/>
        <w:jc w:val="both"/>
      </w:pPr>
      <w:r>
        <w:rPr>
          <w:sz w:val="24"/>
        </w:rPr>
      </w:r>
    </w:p>
    <w:p>
      <w:pPr>
        <w:pStyle w:val="0"/>
        <w:ind w:firstLine="540"/>
        <w:jc w:val="both"/>
      </w:pPr>
      <w:r>
        <w:rPr>
          <w:sz w:val="24"/>
        </w:rPr>
        <w:t xml:space="preserve">1. Технологические среды по пожаровзрывоопасности подразделяются на следующие группы:</w:t>
      </w:r>
    </w:p>
    <w:p>
      <w:pPr>
        <w:pStyle w:val="0"/>
        <w:spacing w:before="240" w:line-rule="auto"/>
        <w:ind w:firstLine="540"/>
        <w:jc w:val="both"/>
      </w:pPr>
      <w:r>
        <w:rPr>
          <w:sz w:val="24"/>
        </w:rPr>
        <w:t xml:space="preserve">1) пожароопасные;</w:t>
      </w:r>
    </w:p>
    <w:p>
      <w:pPr>
        <w:pStyle w:val="0"/>
        <w:spacing w:before="240" w:line-rule="auto"/>
        <w:ind w:firstLine="540"/>
        <w:jc w:val="both"/>
      </w:pPr>
      <w:r>
        <w:rPr>
          <w:sz w:val="24"/>
        </w:rPr>
        <w:t xml:space="preserve">2) пожаровзрывоопасные;</w:t>
      </w:r>
    </w:p>
    <w:p>
      <w:pPr>
        <w:pStyle w:val="0"/>
        <w:spacing w:before="240" w:line-rule="auto"/>
        <w:ind w:firstLine="540"/>
        <w:jc w:val="both"/>
      </w:pPr>
      <w:r>
        <w:rPr>
          <w:sz w:val="24"/>
        </w:rPr>
        <w:t xml:space="preserve">3) взрывоопасные;</w:t>
      </w:r>
    </w:p>
    <w:p>
      <w:pPr>
        <w:pStyle w:val="0"/>
        <w:spacing w:before="240" w:line-rule="auto"/>
        <w:ind w:firstLine="540"/>
        <w:jc w:val="both"/>
      </w:pPr>
      <w:r>
        <w:rPr>
          <w:sz w:val="24"/>
        </w:rPr>
        <w:t xml:space="preserve">4) пожаробезопасные.</w:t>
      </w:r>
    </w:p>
    <w:p>
      <w:pPr>
        <w:pStyle w:val="0"/>
        <w:spacing w:before="240" w:line-rule="auto"/>
        <w:ind w:firstLine="540"/>
        <w:jc w:val="both"/>
      </w:pPr>
      <w:r>
        <w:rPr>
          <w:sz w:val="24"/>
        </w:rPr>
        <w:t xml:space="preserve">2. Среда относится к пожароопасным, если возможно образование горючей среды, а также появление источника зажигания достаточной мощности для возникновения пожара.</w:t>
      </w:r>
    </w:p>
    <w:p>
      <w:pPr>
        <w:pStyle w:val="0"/>
        <w:spacing w:before="240" w:line-rule="auto"/>
        <w:ind w:firstLine="540"/>
        <w:jc w:val="both"/>
      </w:pPr>
      <w:r>
        <w:rPr>
          <w:sz w:val="24"/>
        </w:rPr>
        <w:t xml:space="preserve">3. Среда относится к пожаровзрывоопасным, если возможно образование смесей окислителя с горючими газами, парами легковоспламеняющихся жидкостей, горючими аэрозолями и горючими пылями, в которых при появлении источника зажигания возможно инициирование взрыва и (или) пожара.</w:t>
      </w:r>
    </w:p>
    <w:p>
      <w:pPr>
        <w:pStyle w:val="0"/>
        <w:spacing w:before="240" w:line-rule="auto"/>
        <w:ind w:firstLine="540"/>
        <w:jc w:val="both"/>
      </w:pPr>
      <w:r>
        <w:rPr>
          <w:sz w:val="24"/>
        </w:rPr>
        <w:t xml:space="preserve">4. Среда относится к взрывоопасным, если возможно образование смесей воздуха с горючими газами, парами легковоспламеняющихся жидкостей, горючими жидкостями, горючими аэрозолями и горючими пылями или волокнами и если при определенной концентрации горючего и появлении источника инициирования взрыва (источника зажигания) она способна взрываться.</w:t>
      </w:r>
    </w:p>
    <w:p>
      <w:pPr>
        <w:pStyle w:val="0"/>
        <w:spacing w:before="240" w:line-rule="auto"/>
        <w:ind w:firstLine="540"/>
        <w:jc w:val="both"/>
      </w:pPr>
      <w:r>
        <w:rPr>
          <w:sz w:val="24"/>
        </w:rPr>
        <w:t xml:space="preserve">5. К пожаробезопасным средам относится пространство, в котором отсутствуют горючая среда и (или) окислитель.</w:t>
      </w:r>
    </w:p>
    <w:p>
      <w:pPr>
        <w:pStyle w:val="0"/>
        <w:ind w:firstLine="540"/>
        <w:jc w:val="both"/>
      </w:pPr>
      <w:r>
        <w:rPr>
          <w:sz w:val="24"/>
        </w:rPr>
      </w:r>
    </w:p>
    <w:p>
      <w:pPr>
        <w:pStyle w:val="2"/>
        <w:outlineLvl w:val="2"/>
        <w:jc w:val="center"/>
      </w:pPr>
      <w:r>
        <w:rPr>
          <w:sz w:val="24"/>
        </w:rPr>
        <w:t xml:space="preserve">Глава 5. КЛАССИФИКАЦИЯ ПОЖАРООПАСНЫХ И ВЗРЫВООПАСНЫХ ЗОН</w:t>
      </w:r>
    </w:p>
    <w:p>
      <w:pPr>
        <w:pStyle w:val="0"/>
        <w:jc w:val="center"/>
      </w:pPr>
      <w:r>
        <w:rPr>
          <w:sz w:val="24"/>
        </w:rPr>
      </w:r>
    </w:p>
    <w:p>
      <w:pPr>
        <w:pStyle w:val="2"/>
        <w:outlineLvl w:val="3"/>
        <w:ind w:firstLine="540"/>
        <w:jc w:val="both"/>
      </w:pPr>
      <w:r>
        <w:rPr>
          <w:sz w:val="24"/>
        </w:rPr>
        <w:t xml:space="preserve">Статья 17. Цель классификации</w:t>
      </w:r>
    </w:p>
    <w:p>
      <w:pPr>
        <w:pStyle w:val="0"/>
        <w:ind w:firstLine="540"/>
        <w:jc w:val="both"/>
      </w:pPr>
      <w:r>
        <w:rPr>
          <w:sz w:val="24"/>
        </w:rPr>
      </w:r>
    </w:p>
    <w:p>
      <w:pPr>
        <w:pStyle w:val="0"/>
        <w:ind w:firstLine="540"/>
        <w:jc w:val="both"/>
      </w:pPr>
      <w:r>
        <w:rPr>
          <w:sz w:val="24"/>
        </w:rPr>
        <w:t xml:space="preserve">Классификация пожароопасных и взрывоопасных зон применяется для выбора электротехнического и другого оборудования по степени их защиты, обеспечивающей их пожаровзрывобезопасную эксплуатацию в указанной зоне.</w:t>
      </w:r>
    </w:p>
    <w:p>
      <w:pPr>
        <w:pStyle w:val="0"/>
        <w:ind w:firstLine="540"/>
        <w:jc w:val="both"/>
      </w:pPr>
      <w:r>
        <w:rPr>
          <w:sz w:val="24"/>
        </w:rPr>
      </w:r>
    </w:p>
    <w:p>
      <w:pPr>
        <w:pStyle w:val="2"/>
        <w:outlineLvl w:val="3"/>
        <w:ind w:firstLine="540"/>
        <w:jc w:val="both"/>
      </w:pPr>
      <w:r>
        <w:rPr>
          <w:sz w:val="24"/>
        </w:rPr>
        <w:t xml:space="preserve">Статья 18. Классификация пожароопасных зон</w:t>
      </w:r>
    </w:p>
    <w:p>
      <w:pPr>
        <w:pStyle w:val="0"/>
        <w:ind w:firstLine="540"/>
        <w:jc w:val="both"/>
      </w:pPr>
      <w:r>
        <w:rPr>
          <w:sz w:val="24"/>
        </w:rPr>
      </w:r>
    </w:p>
    <w:p>
      <w:pPr>
        <w:pStyle w:val="0"/>
        <w:ind w:firstLine="540"/>
        <w:jc w:val="both"/>
      </w:pPr>
      <w:r>
        <w:rPr>
          <w:sz w:val="24"/>
        </w:rPr>
        <w:t xml:space="preserve">1. Пожароопасные зоны подразделяются на следующие классы:</w:t>
      </w:r>
    </w:p>
    <w:p>
      <w:pPr>
        <w:pStyle w:val="0"/>
        <w:spacing w:before="240" w:line-rule="auto"/>
        <w:ind w:firstLine="540"/>
        <w:jc w:val="both"/>
      </w:pPr>
      <w:r>
        <w:rPr>
          <w:sz w:val="24"/>
        </w:rPr>
        <w:t xml:space="preserve">1) П-I - зоны, расположенные в помещениях, в которых обращаются горючие жидкости с температурой вспышки 61 и более градуса Цельсия;</w:t>
      </w:r>
    </w:p>
    <w:p>
      <w:pPr>
        <w:pStyle w:val="0"/>
        <w:spacing w:before="240" w:line-rule="auto"/>
        <w:ind w:firstLine="540"/>
        <w:jc w:val="both"/>
      </w:pPr>
      <w:r>
        <w:rPr>
          <w:sz w:val="24"/>
        </w:rPr>
        <w:t xml:space="preserve">2) П-II - зоны, расположенные в помещениях, в которых выделяются горючие пыли или волокна;</w:t>
      </w:r>
    </w:p>
    <w:p>
      <w:pPr>
        <w:pStyle w:val="0"/>
        <w:spacing w:before="240" w:line-rule="auto"/>
        <w:ind w:firstLine="540"/>
        <w:jc w:val="both"/>
      </w:pPr>
      <w:r>
        <w:rPr>
          <w:sz w:val="24"/>
        </w:rPr>
        <w:t xml:space="preserve">3) П-IIа - зоны, расположенные в помещениях, в которых обращаются твердые горючие вещества в количестве, при котором удельная пожарная нагрузка составляет не менее 1 мегаджоуля на квадратный метр;</w:t>
      </w:r>
    </w:p>
    <w:p>
      <w:pPr>
        <w:pStyle w:val="0"/>
        <w:spacing w:before="240" w:line-rule="auto"/>
        <w:ind w:firstLine="540"/>
        <w:jc w:val="both"/>
      </w:pPr>
      <w:r>
        <w:rPr>
          <w:sz w:val="24"/>
        </w:rPr>
        <w:t xml:space="preserve">4) П-III - зоны, расположенные вне зданий, сооружений, в которых обращаются горючие жидкости с температурой вспышки 61 и более градуса Цельсия или любые твердые горючие вещества.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w:t>
      </w:r>
      <w:r>
        <w:rPr>
          <w:sz w:val="24"/>
        </w:rPr>
        <w:t xml:space="preserve">Методы</w:t>
      </w:r>
      <w:r>
        <w:rPr>
          <w:sz w:val="24"/>
        </w:rPr>
        <w:t xml:space="preserve"> определения классификационных показателей пожароопасной зоны устанавливаются нормативными документами по пожарной безопасности.</w:t>
      </w:r>
    </w:p>
    <w:p>
      <w:pPr>
        <w:pStyle w:val="0"/>
        <w:ind w:firstLine="540"/>
        <w:jc w:val="both"/>
      </w:pPr>
      <w:r>
        <w:rPr>
          <w:sz w:val="24"/>
        </w:rPr>
      </w:r>
    </w:p>
    <w:p>
      <w:pPr>
        <w:pStyle w:val="2"/>
        <w:outlineLvl w:val="3"/>
        <w:ind w:firstLine="540"/>
        <w:jc w:val="both"/>
      </w:pPr>
      <w:r>
        <w:rPr>
          <w:sz w:val="24"/>
        </w:rPr>
        <w:t xml:space="preserve">Статья 19. Классификация взрывоопасных зон</w:t>
      </w:r>
    </w:p>
    <w:p>
      <w:pPr>
        <w:pStyle w:val="0"/>
        <w:ind w:firstLine="540"/>
        <w:jc w:val="both"/>
      </w:pPr>
      <w:r>
        <w:rPr>
          <w:sz w:val="24"/>
        </w:rPr>
      </w:r>
    </w:p>
    <w:p>
      <w:pPr>
        <w:pStyle w:val="0"/>
        <w:ind w:firstLine="540"/>
        <w:jc w:val="both"/>
      </w:pPr>
      <w:r>
        <w:rPr>
          <w:sz w:val="24"/>
        </w:rPr>
        <w:t xml:space="preserve">1. В зависимости от частоты и длительности присутствия взрывоопасной смеси взрывоопасные зоны подразделяются на следующие классы:</w:t>
      </w:r>
    </w:p>
    <w:p>
      <w:pPr>
        <w:pStyle w:val="0"/>
        <w:spacing w:before="240" w:line-rule="auto"/>
        <w:ind w:firstLine="540"/>
        <w:jc w:val="both"/>
      </w:pPr>
      <w:r>
        <w:rPr>
          <w:sz w:val="24"/>
        </w:rPr>
        <w:t xml:space="preserve">1) 0-й класс - зоны, в которых взрывоопасная смесь газов или паров жидкостей с воздухом присутствует постоянно или хотя бы в течение одного часа;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1-й класс - зоны, в которых при нормальном режиме работы оборудования выделяются горючие газы или пары легковоспламеняющихся жидкостей, образующие с воздухом взрывоопасные смеси;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2-й класс - зоны, в которых при нормальном режиме работы оборудования не образуются взрывоопасные смеси газов или паров жидкостей с воздухом, но возможно образование такой взрывоопасной смеси газов или паров жидкостей с воздухом только в результате аварии или повреждения технологического оборудования;</w:t>
      </w:r>
    </w:p>
    <w:p>
      <w:pPr>
        <w:pStyle w:val="0"/>
        <w:jc w:val="both"/>
      </w:pPr>
      <w:r>
        <w:rPr>
          <w:sz w:val="24"/>
        </w:rPr>
        <w:t xml:space="preserve">(п. 3 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4) 20-й класс - зоны, в которых взрывоопасные смеси горючей пыли с воздухом имеют нижний концентрационный предел распространения пламени менее 65 граммов на кубический метр и присутствуют постоянно;</w:t>
      </w:r>
    </w:p>
    <w:p>
      <w:pPr>
        <w:pStyle w:val="0"/>
        <w:jc w:val="both"/>
      </w:pPr>
      <w:r>
        <w:rPr>
          <w:sz w:val="24"/>
        </w:rPr>
        <w:t xml:space="preserve">(в ред. Федерального </w:t>
      </w:r>
      <w:r>
        <w:rPr>
          <w:sz w:val="24"/>
        </w:rPr>
        <w:t xml:space="preserve">закона</w:t>
      </w:r>
      <w:r>
        <w:rPr>
          <w:sz w:val="24"/>
        </w:rPr>
        <w:t xml:space="preserve"> от 29.07.2017 N 244-ФЗ)</w:t>
      </w:r>
    </w:p>
    <w:p>
      <w:pPr>
        <w:pStyle w:val="0"/>
        <w:spacing w:before="240" w:line-rule="auto"/>
        <w:ind w:firstLine="540"/>
        <w:jc w:val="both"/>
      </w:pPr>
      <w:r>
        <w:rPr>
          <w:sz w:val="24"/>
        </w:rPr>
        <w:t xml:space="preserve">5) 21-й класс - зоны, расположенные в помещениях, в которых при нормальном режиме работы оборудования выделяются переходящие во взвешенное состояние горючие пыли или волокна, способные образовывать с воздухом взрывоопасные смеси при концентрации 65 и менее граммов на кубический метр;</w:t>
      </w:r>
    </w:p>
    <w:p>
      <w:pPr>
        <w:pStyle w:val="0"/>
        <w:spacing w:before="240" w:line-rule="auto"/>
        <w:ind w:firstLine="540"/>
        <w:jc w:val="both"/>
      </w:pPr>
      <w:r>
        <w:rPr>
          <w:sz w:val="24"/>
        </w:rPr>
        <w:t xml:space="preserve">6) 22-й класс - зоны, расположенные в помещениях, в которых при нормальном режиме работы оборудования не образуются взрывоопасные смеси горючих пылей или волокон с воздухом при концентрации 65 и менее граммов на кубический метр, но возможно образование такой взрывоопасной смеси горючих пылей или волокон с воздухом только в результате аварии или повреждения технологического оборудования.</w:t>
      </w:r>
    </w:p>
    <w:p>
      <w:pPr>
        <w:pStyle w:val="0"/>
        <w:spacing w:before="240" w:line-rule="auto"/>
        <w:ind w:firstLine="540"/>
        <w:jc w:val="both"/>
      </w:pPr>
      <w:r>
        <w:rPr>
          <w:sz w:val="24"/>
        </w:rPr>
        <w:t xml:space="preserve">2. </w:t>
      </w:r>
      <w:r>
        <w:rPr>
          <w:sz w:val="24"/>
        </w:rPr>
        <w:t xml:space="preserve">Методы</w:t>
      </w:r>
      <w:r>
        <w:rPr>
          <w:sz w:val="24"/>
        </w:rPr>
        <w:t xml:space="preserve"> определения классификационных показателей взрывоопасной зоны устанавливаются нормативными документами по пожарной безопасности.</w:t>
      </w:r>
    </w:p>
    <w:p>
      <w:pPr>
        <w:pStyle w:val="0"/>
        <w:ind w:firstLine="540"/>
        <w:jc w:val="both"/>
      </w:pPr>
      <w:r>
        <w:rPr>
          <w:sz w:val="24"/>
        </w:rPr>
      </w:r>
    </w:p>
    <w:p>
      <w:pPr>
        <w:pStyle w:val="2"/>
        <w:outlineLvl w:val="2"/>
        <w:jc w:val="center"/>
      </w:pPr>
      <w:r>
        <w:rPr>
          <w:sz w:val="24"/>
        </w:rPr>
        <w:t xml:space="preserve">Глава 6. КЛАССИФИКАЦИЯ ЭЛЕКТРООБОРУДОВАНИЯ</w:t>
      </w:r>
    </w:p>
    <w:p>
      <w:pPr>
        <w:pStyle w:val="2"/>
        <w:jc w:val="center"/>
      </w:pPr>
      <w:r>
        <w:rPr>
          <w:sz w:val="24"/>
        </w:rPr>
        <w:t xml:space="preserve">ПО ПОЖАРОВЗРЫВООПАСНОСТИ И ПОЖАРНОЙ ОПАСНОСТИ</w:t>
      </w:r>
    </w:p>
    <w:p>
      <w:pPr>
        <w:pStyle w:val="0"/>
        <w:jc w:val="center"/>
      </w:pPr>
      <w:r>
        <w:rPr>
          <w:sz w:val="24"/>
        </w:rPr>
      </w:r>
    </w:p>
    <w:p>
      <w:pPr>
        <w:pStyle w:val="2"/>
        <w:outlineLvl w:val="3"/>
        <w:ind w:firstLine="540"/>
        <w:jc w:val="both"/>
      </w:pPr>
      <w:r>
        <w:rPr>
          <w:sz w:val="24"/>
        </w:rPr>
        <w:t xml:space="preserve">Статья 20. Цель классификации</w:t>
      </w:r>
    </w:p>
    <w:p>
      <w:pPr>
        <w:pStyle w:val="0"/>
        <w:ind w:firstLine="540"/>
        <w:jc w:val="both"/>
      </w:pPr>
      <w:r>
        <w:rPr>
          <w:sz w:val="24"/>
        </w:rPr>
      </w:r>
    </w:p>
    <w:p>
      <w:pPr>
        <w:pStyle w:val="0"/>
        <w:ind w:firstLine="540"/>
        <w:jc w:val="both"/>
      </w:pPr>
      <w:r>
        <w:rPr>
          <w:sz w:val="24"/>
        </w:rPr>
        <w:t xml:space="preserve">Классификация электрооборудования по пожаровзрывоопасности и пожарной опасности применяется для определения области его безопасного применения и соответствующей этой области маркировки электрооборудования, а также для определения требований пожарной безопасности при эксплуатации электрооборудования.</w:t>
      </w:r>
    </w:p>
    <w:p>
      <w:pPr>
        <w:pStyle w:val="0"/>
        <w:ind w:firstLine="540"/>
        <w:jc w:val="both"/>
      </w:pPr>
      <w:r>
        <w:rPr>
          <w:sz w:val="24"/>
        </w:rPr>
      </w:r>
    </w:p>
    <w:p>
      <w:pPr>
        <w:pStyle w:val="2"/>
        <w:outlineLvl w:val="3"/>
        <w:ind w:firstLine="540"/>
        <w:jc w:val="both"/>
      </w:pPr>
      <w:r>
        <w:rPr>
          <w:sz w:val="24"/>
        </w:rPr>
        <w:t xml:space="preserve">Статья 21. Классификация электрооборудования по пожаровзрывоопасности и пожарной опасности</w:t>
      </w:r>
    </w:p>
    <w:p>
      <w:pPr>
        <w:pStyle w:val="0"/>
        <w:ind w:firstLine="540"/>
        <w:jc w:val="both"/>
      </w:pPr>
      <w:r>
        <w:rPr>
          <w:sz w:val="24"/>
        </w:rPr>
      </w:r>
    </w:p>
    <w:p>
      <w:pPr>
        <w:pStyle w:val="0"/>
        <w:ind w:firstLine="540"/>
        <w:jc w:val="both"/>
      </w:pPr>
      <w:r>
        <w:rPr>
          <w:sz w:val="24"/>
        </w:rPr>
        <w:t xml:space="preserve">1. В зависимости от степени пожаровзрывоопасности и пожарной опасности электрооборудование подразделяется на следующие виды:</w:t>
      </w:r>
    </w:p>
    <w:p>
      <w:pPr>
        <w:pStyle w:val="0"/>
        <w:spacing w:before="240" w:line-rule="auto"/>
        <w:ind w:firstLine="540"/>
        <w:jc w:val="both"/>
      </w:pPr>
      <w:r>
        <w:rPr>
          <w:sz w:val="24"/>
        </w:rPr>
        <w:t xml:space="preserve">1) электрооборудование без средств пожаровзрывозащиты;</w:t>
      </w:r>
    </w:p>
    <w:p>
      <w:pPr>
        <w:pStyle w:val="0"/>
        <w:spacing w:before="240" w:line-rule="auto"/>
        <w:ind w:firstLine="540"/>
        <w:jc w:val="both"/>
      </w:pPr>
      <w:r>
        <w:rPr>
          <w:sz w:val="24"/>
        </w:rPr>
        <w:t xml:space="preserve">2) пожарозащищенное электрооборудование (для пожароопасных зон);</w:t>
      </w:r>
    </w:p>
    <w:p>
      <w:pPr>
        <w:pStyle w:val="0"/>
        <w:spacing w:before="240" w:line-rule="auto"/>
        <w:ind w:firstLine="540"/>
        <w:jc w:val="both"/>
      </w:pPr>
      <w:r>
        <w:rPr>
          <w:sz w:val="24"/>
        </w:rPr>
        <w:t xml:space="preserve">3) взрывозащищенное электрооборудование (для взрывоопасных зон).</w:t>
      </w:r>
    </w:p>
    <w:p>
      <w:pPr>
        <w:pStyle w:val="0"/>
        <w:spacing w:before="240" w:line-rule="auto"/>
        <w:ind w:firstLine="540"/>
        <w:jc w:val="both"/>
      </w:pPr>
      <w:r>
        <w:rPr>
          <w:sz w:val="24"/>
        </w:rPr>
        <w:t xml:space="preserve">2. Под степенью пожаровзрывоопасности и пожарной опасности электрооборудования понимается опасность возникновения источника зажигания внутри электрооборудования и (или) опасность контакта источника зажигания с окружающей электрооборудование горючей средой. Электрооборудование без средств пожаровзрывозащиты по уровням пожарной защиты и взрывозащиты не классифицируется.</w:t>
      </w:r>
    </w:p>
    <w:p>
      <w:pPr>
        <w:pStyle w:val="0"/>
        <w:ind w:firstLine="540"/>
        <w:jc w:val="both"/>
      </w:pPr>
      <w:r>
        <w:rPr>
          <w:sz w:val="24"/>
        </w:rPr>
      </w:r>
    </w:p>
    <w:p>
      <w:pPr>
        <w:pStyle w:val="2"/>
        <w:outlineLvl w:val="3"/>
        <w:ind w:firstLine="540"/>
        <w:jc w:val="both"/>
      </w:pPr>
      <w:r>
        <w:rPr>
          <w:sz w:val="24"/>
        </w:rPr>
        <w:t xml:space="preserve">Статья 22. Классификация пожарозащищенного электрооборудования</w:t>
      </w:r>
    </w:p>
    <w:p>
      <w:pPr>
        <w:pStyle w:val="0"/>
        <w:ind w:firstLine="540"/>
        <w:jc w:val="both"/>
      </w:pPr>
      <w:r>
        <w:rPr>
          <w:sz w:val="24"/>
        </w:rPr>
      </w:r>
    </w:p>
    <w:p>
      <w:pPr>
        <w:pStyle w:val="0"/>
        <w:ind w:firstLine="540"/>
        <w:jc w:val="both"/>
      </w:pPr>
      <w:r>
        <w:rPr>
          <w:sz w:val="24"/>
        </w:rPr>
        <w:t xml:space="preserve">1. Электрооборудование, применяемое в пожароопасных зонах, классифицируется по степени защиты от проникновения внутрь воды и внешних твердых предметов, обеспечиваемой конструкцией этого электрооборудования. Классификация пожарозащищенного электрооборудования осуществляется в соответствии с </w:t>
      </w:r>
      <w:hyperlink w:history="0" w:anchor="P2205" w:tooltip="Степень защиты пожарозащищенного электрооборудования">
        <w:r>
          <w:rPr>
            <w:sz w:val="24"/>
            <w:color w:val="0000ff"/>
          </w:rPr>
          <w:t xml:space="preserve">таблицами 4</w:t>
        </w:r>
      </w:hyperlink>
      <w:r>
        <w:rPr>
          <w:sz w:val="24"/>
        </w:rPr>
        <w:t xml:space="preserve"> и </w:t>
      </w:r>
      <w:hyperlink w:history="0" w:anchor="P2227" w:tooltip="Степень защиты пожарозащищенного электрооборудования">
        <w:r>
          <w:rPr>
            <w:sz w:val="24"/>
            <w:color w:val="0000ff"/>
          </w:rPr>
          <w:t xml:space="preserve">5</w:t>
        </w:r>
      </w:hyperlink>
      <w:r>
        <w:rPr>
          <w:sz w:val="24"/>
        </w:rPr>
        <w:t xml:space="preserve"> приложения к настоящему Федеральному закону.</w:t>
      </w:r>
    </w:p>
    <w:p>
      <w:pPr>
        <w:pStyle w:val="0"/>
        <w:spacing w:before="240" w:line-rule="auto"/>
        <w:ind w:firstLine="540"/>
        <w:jc w:val="both"/>
      </w:pPr>
      <w:r>
        <w:rPr>
          <w:sz w:val="24"/>
        </w:rPr>
        <w:t xml:space="preserve">2. </w:t>
      </w:r>
      <w:r>
        <w:rPr>
          <w:sz w:val="24"/>
        </w:rPr>
        <w:t xml:space="preserve">Методы</w:t>
      </w:r>
      <w:r>
        <w:rPr>
          <w:sz w:val="24"/>
        </w:rPr>
        <w:t xml:space="preserve"> определения степени защиты оболочки пожарозащищенного электрооборудования устанавливаются нормативными документами по пожарной безопасности.</w:t>
      </w:r>
    </w:p>
    <w:p>
      <w:pPr>
        <w:pStyle w:val="0"/>
        <w:spacing w:before="240" w:line-rule="auto"/>
        <w:ind w:firstLine="540"/>
        <w:jc w:val="both"/>
      </w:pPr>
      <w:r>
        <w:rPr>
          <w:sz w:val="24"/>
        </w:rPr>
        <w:t xml:space="preserve">3. Маркировка степени защиты оболочки электрооборудования осуществляется при помощи международного знака защиты (IP) и двух цифр, первая из которых означает защиту от попадания твердых предметов, вторая - от проникновения воды.</w:t>
      </w:r>
    </w:p>
    <w:p>
      <w:pPr>
        <w:pStyle w:val="0"/>
        <w:ind w:firstLine="540"/>
        <w:jc w:val="both"/>
      </w:pPr>
      <w:r>
        <w:rPr>
          <w:sz w:val="24"/>
        </w:rPr>
      </w:r>
    </w:p>
    <w:p>
      <w:pPr>
        <w:pStyle w:val="2"/>
        <w:outlineLvl w:val="3"/>
        <w:ind w:firstLine="540"/>
        <w:jc w:val="both"/>
      </w:pPr>
      <w:r>
        <w:rPr>
          <w:sz w:val="24"/>
        </w:rPr>
        <w:t xml:space="preserve">Статья 23. Классификация взрывозащищенного электрооборудования</w:t>
      </w:r>
    </w:p>
    <w:p>
      <w:pPr>
        <w:pStyle w:val="0"/>
        <w:ind w:firstLine="540"/>
        <w:jc w:val="both"/>
      </w:pPr>
      <w:r>
        <w:rPr>
          <w:sz w:val="24"/>
        </w:rPr>
      </w:r>
    </w:p>
    <w:p>
      <w:pPr>
        <w:pStyle w:val="0"/>
        <w:ind w:firstLine="540"/>
        <w:jc w:val="both"/>
      </w:pPr>
      <w:r>
        <w:rPr>
          <w:sz w:val="24"/>
        </w:rPr>
        <w:t xml:space="preserve">1. Взрывозащищенное электрооборудование классифицируется по уровням взрывозащиты, видам взрывозащиты, группам и температурным классам.</w:t>
      </w:r>
    </w:p>
    <w:p>
      <w:pPr>
        <w:pStyle w:val="0"/>
        <w:spacing w:before="240" w:line-rule="auto"/>
        <w:ind w:firstLine="540"/>
        <w:jc w:val="both"/>
      </w:pPr>
      <w:r>
        <w:rPr>
          <w:sz w:val="24"/>
        </w:rPr>
        <w:t xml:space="preserve">2. Взрывозащищенное электрооборудование по уровням взрывозащиты подразделяется на следующие виды:</w:t>
      </w:r>
    </w:p>
    <w:p>
      <w:pPr>
        <w:pStyle w:val="0"/>
        <w:spacing w:before="240" w:line-rule="auto"/>
        <w:ind w:firstLine="540"/>
        <w:jc w:val="both"/>
      </w:pPr>
      <w:r>
        <w:rPr>
          <w:sz w:val="24"/>
        </w:rPr>
        <w:t xml:space="preserve">1) особовзрывобезопасное электрооборудование (уровень 0);</w:t>
      </w:r>
    </w:p>
    <w:p>
      <w:pPr>
        <w:pStyle w:val="0"/>
        <w:spacing w:before="240" w:line-rule="auto"/>
        <w:ind w:firstLine="540"/>
        <w:jc w:val="both"/>
      </w:pPr>
      <w:r>
        <w:rPr>
          <w:sz w:val="24"/>
        </w:rPr>
        <w:t xml:space="preserve">2) взрывобезопасное электрооборудование (уровень 1);</w:t>
      </w:r>
    </w:p>
    <w:p>
      <w:pPr>
        <w:pStyle w:val="0"/>
        <w:spacing w:before="240" w:line-rule="auto"/>
        <w:ind w:firstLine="540"/>
        <w:jc w:val="both"/>
      </w:pPr>
      <w:r>
        <w:rPr>
          <w:sz w:val="24"/>
        </w:rPr>
        <w:t xml:space="preserve">3) электрооборудование повышенной надежности против взрыва (уровень 2).</w:t>
      </w:r>
    </w:p>
    <w:p>
      <w:pPr>
        <w:pStyle w:val="0"/>
        <w:spacing w:before="240" w:line-rule="auto"/>
        <w:ind w:firstLine="540"/>
        <w:jc w:val="both"/>
      </w:pPr>
      <w:r>
        <w:rPr>
          <w:sz w:val="24"/>
        </w:rPr>
        <w:t xml:space="preserve">3. Особовзрывобезопасное электрооборудование - это взрывобезопасное электрооборудование с дополнительными средствами взрывозащиты.</w:t>
      </w:r>
    </w:p>
    <w:p>
      <w:pPr>
        <w:pStyle w:val="0"/>
        <w:spacing w:before="240" w:line-rule="auto"/>
        <w:ind w:firstLine="540"/>
        <w:jc w:val="both"/>
      </w:pPr>
      <w:r>
        <w:rPr>
          <w:sz w:val="24"/>
        </w:rPr>
        <w:t xml:space="preserve">4. Взрывобезопасное электрооборудование обеспечивает взрывозащиту как при нормальном режиме работы оборудования, так и при повреждении, за исключением повреждения средств взрывозащиты. Электрооборудование повышенной надежности против взрыва обеспечивает взрывозащиту только при нормальном режиме работы оборудования (при отсутствии аварий и повреждений).</w:t>
      </w:r>
    </w:p>
    <w:p>
      <w:pPr>
        <w:pStyle w:val="0"/>
        <w:spacing w:before="240" w:line-rule="auto"/>
        <w:ind w:firstLine="540"/>
        <w:jc w:val="both"/>
      </w:pPr>
      <w:r>
        <w:rPr>
          <w:sz w:val="24"/>
        </w:rPr>
        <w:t xml:space="preserve">5. Взрывозащищенное электрооборудование по видам взрывозащиты подразделяется на оборудование, имеющее:</w:t>
      </w:r>
    </w:p>
    <w:p>
      <w:pPr>
        <w:pStyle w:val="0"/>
        <w:spacing w:before="240" w:line-rule="auto"/>
        <w:ind w:firstLine="540"/>
        <w:jc w:val="both"/>
      </w:pPr>
      <w:r>
        <w:rPr>
          <w:sz w:val="24"/>
        </w:rPr>
        <w:t xml:space="preserve">1) взрывонепроницаемую оболочку (d);</w:t>
      </w:r>
    </w:p>
    <w:p>
      <w:pPr>
        <w:pStyle w:val="0"/>
        <w:spacing w:before="240" w:line-rule="auto"/>
        <w:ind w:firstLine="540"/>
        <w:jc w:val="both"/>
      </w:pPr>
      <w:r>
        <w:rPr>
          <w:sz w:val="24"/>
        </w:rPr>
        <w:t xml:space="preserve">2) заполнение или продувку оболочки под избыточным давлением защитным газом (p);</w:t>
      </w:r>
    </w:p>
    <w:p>
      <w:pPr>
        <w:pStyle w:val="0"/>
        <w:spacing w:before="240" w:line-rule="auto"/>
        <w:ind w:firstLine="540"/>
        <w:jc w:val="both"/>
      </w:pPr>
      <w:r>
        <w:rPr>
          <w:sz w:val="24"/>
        </w:rPr>
        <w:t xml:space="preserve">3) искробезопасную электрическую цепь (i);</w:t>
      </w:r>
    </w:p>
    <w:p>
      <w:pPr>
        <w:pStyle w:val="0"/>
        <w:spacing w:before="240" w:line-rule="auto"/>
        <w:ind w:firstLine="540"/>
        <w:jc w:val="both"/>
      </w:pPr>
      <w:r>
        <w:rPr>
          <w:sz w:val="24"/>
        </w:rPr>
        <w:t xml:space="preserve">4) кварцевое заполнение оболочки с токоведущими частями (q);</w:t>
      </w:r>
    </w:p>
    <w:p>
      <w:pPr>
        <w:pStyle w:val="0"/>
        <w:spacing w:before="240" w:line-rule="auto"/>
        <w:ind w:firstLine="540"/>
        <w:jc w:val="both"/>
      </w:pPr>
      <w:r>
        <w:rPr>
          <w:sz w:val="24"/>
        </w:rPr>
        <w:t xml:space="preserve">5) масляное заполнение оболочки с токоведущими частями (o);</w:t>
      </w:r>
    </w:p>
    <w:p>
      <w:pPr>
        <w:pStyle w:val="0"/>
        <w:spacing w:before="240" w:line-rule="auto"/>
        <w:ind w:firstLine="540"/>
        <w:jc w:val="both"/>
      </w:pPr>
      <w:r>
        <w:rPr>
          <w:sz w:val="24"/>
        </w:rPr>
        <w:t xml:space="preserve">6) специальный вид взрывозащиты, определяемый особенностями объекта (s);</w:t>
      </w:r>
    </w:p>
    <w:p>
      <w:pPr>
        <w:pStyle w:val="0"/>
        <w:spacing w:before="240" w:line-rule="auto"/>
        <w:ind w:firstLine="540"/>
        <w:jc w:val="both"/>
      </w:pPr>
      <w:r>
        <w:rPr>
          <w:sz w:val="24"/>
        </w:rPr>
        <w:t xml:space="preserve">7) любой иной вид защиты (e).</w:t>
      </w:r>
    </w:p>
    <w:p>
      <w:pPr>
        <w:pStyle w:val="0"/>
        <w:spacing w:before="240" w:line-rule="auto"/>
        <w:ind w:firstLine="540"/>
        <w:jc w:val="both"/>
      </w:pPr>
      <w:r>
        <w:rPr>
          <w:sz w:val="24"/>
        </w:rPr>
        <w:t xml:space="preserve">6. Взрывозащищенное электрооборудование по допустимости применения в зонах подразделяется на оборудование:</w:t>
      </w:r>
    </w:p>
    <w:p>
      <w:pPr>
        <w:pStyle w:val="0"/>
        <w:spacing w:before="240" w:line-rule="auto"/>
        <w:ind w:firstLine="540"/>
        <w:jc w:val="both"/>
      </w:pPr>
      <w:r>
        <w:rPr>
          <w:sz w:val="24"/>
        </w:rPr>
        <w:t xml:space="preserve">1) с промышленными газами и парами (группа II и подгруппы IIA, IIB, IIC);</w:t>
      </w:r>
    </w:p>
    <w:p>
      <w:pPr>
        <w:pStyle w:val="0"/>
        <w:spacing w:before="240" w:line-rule="auto"/>
        <w:ind w:firstLine="540"/>
        <w:jc w:val="both"/>
      </w:pPr>
      <w:r>
        <w:rPr>
          <w:sz w:val="24"/>
        </w:rPr>
        <w:t xml:space="preserve">2) с рудничным метаном (группа I).</w:t>
      </w:r>
    </w:p>
    <w:p>
      <w:pPr>
        <w:pStyle w:val="0"/>
        <w:spacing w:before="240" w:line-rule="auto"/>
        <w:ind w:firstLine="540"/>
        <w:jc w:val="both"/>
      </w:pPr>
      <w:r>
        <w:rPr>
          <w:sz w:val="24"/>
        </w:rPr>
        <w:t xml:space="preserve">7. В зависимости от наибольшей допустимой температуры поверхности взрывозащищенное электрооборудование группы II подразделяется на следующие температурные классы:</w:t>
      </w:r>
    </w:p>
    <w:p>
      <w:pPr>
        <w:pStyle w:val="0"/>
        <w:spacing w:before="240" w:line-rule="auto"/>
        <w:ind w:firstLine="540"/>
        <w:jc w:val="both"/>
      </w:pPr>
      <w:r>
        <w:rPr>
          <w:sz w:val="24"/>
        </w:rPr>
        <w:t xml:space="preserve">1) Т1 (450 градусов Цельсия);</w:t>
      </w:r>
    </w:p>
    <w:p>
      <w:pPr>
        <w:pStyle w:val="0"/>
        <w:spacing w:before="240" w:line-rule="auto"/>
        <w:ind w:firstLine="540"/>
        <w:jc w:val="both"/>
      </w:pPr>
      <w:r>
        <w:rPr>
          <w:sz w:val="24"/>
        </w:rPr>
        <w:t xml:space="preserve">2) Т2 (300 градусов Цельсия);</w:t>
      </w:r>
    </w:p>
    <w:p>
      <w:pPr>
        <w:pStyle w:val="0"/>
        <w:spacing w:before="240" w:line-rule="auto"/>
        <w:ind w:firstLine="540"/>
        <w:jc w:val="both"/>
      </w:pPr>
      <w:r>
        <w:rPr>
          <w:sz w:val="24"/>
        </w:rPr>
        <w:t xml:space="preserve">3) Т3 (200 градусов Цельсия);</w:t>
      </w:r>
    </w:p>
    <w:p>
      <w:pPr>
        <w:pStyle w:val="0"/>
        <w:spacing w:before="240" w:line-rule="auto"/>
        <w:ind w:firstLine="540"/>
        <w:jc w:val="both"/>
      </w:pPr>
      <w:r>
        <w:rPr>
          <w:sz w:val="24"/>
        </w:rPr>
        <w:t xml:space="preserve">4) Т4 (135 градусов Цельсия);</w:t>
      </w:r>
    </w:p>
    <w:p>
      <w:pPr>
        <w:pStyle w:val="0"/>
        <w:spacing w:before="240" w:line-rule="auto"/>
        <w:ind w:firstLine="540"/>
        <w:jc w:val="both"/>
      </w:pPr>
      <w:r>
        <w:rPr>
          <w:sz w:val="24"/>
        </w:rPr>
        <w:t xml:space="preserve">5) Т5 (100 градусов Цельсия);</w:t>
      </w:r>
    </w:p>
    <w:p>
      <w:pPr>
        <w:pStyle w:val="0"/>
        <w:spacing w:before="240" w:line-rule="auto"/>
        <w:ind w:firstLine="540"/>
        <w:jc w:val="both"/>
      </w:pPr>
      <w:r>
        <w:rPr>
          <w:sz w:val="24"/>
        </w:rPr>
        <w:t xml:space="preserve">6) Т6 (85 градусов Цельсия).</w:t>
      </w:r>
    </w:p>
    <w:p>
      <w:pPr>
        <w:pStyle w:val="0"/>
        <w:spacing w:before="240" w:line-rule="auto"/>
        <w:ind w:firstLine="540"/>
        <w:jc w:val="both"/>
      </w:pPr>
      <w:r>
        <w:rPr>
          <w:sz w:val="24"/>
        </w:rPr>
        <w:t xml:space="preserve">8. Взрывозащищенное электрооборудование должно иметь маркировку. В приведенной ниже последовательности должны указываться:</w:t>
      </w:r>
    </w:p>
    <w:p>
      <w:pPr>
        <w:pStyle w:val="0"/>
        <w:spacing w:before="240" w:line-rule="auto"/>
        <w:ind w:firstLine="540"/>
        <w:jc w:val="both"/>
      </w:pPr>
      <w:r>
        <w:rPr>
          <w:sz w:val="24"/>
        </w:rPr>
        <w:t xml:space="preserve">1) знак уровня взрывозащиты электрооборудования (2, 1, 0);</w:t>
      </w:r>
    </w:p>
    <w:p>
      <w:pPr>
        <w:pStyle w:val="0"/>
        <w:spacing w:before="240" w:line-rule="auto"/>
        <w:ind w:firstLine="540"/>
        <w:jc w:val="both"/>
      </w:pPr>
      <w:r>
        <w:rPr>
          <w:sz w:val="24"/>
        </w:rPr>
        <w:t xml:space="preserve">2) знак, относящий электрооборудование к взрывозащищенному (Ex);</w:t>
      </w:r>
    </w:p>
    <w:p>
      <w:pPr>
        <w:pStyle w:val="0"/>
        <w:spacing w:before="240" w:line-rule="auto"/>
        <w:ind w:firstLine="540"/>
        <w:jc w:val="both"/>
      </w:pPr>
      <w:r>
        <w:rPr>
          <w:sz w:val="24"/>
        </w:rPr>
        <w:t xml:space="preserve">3) знак вида взрывозащиты (d, p, i, q, o, s, e);</w:t>
      </w:r>
    </w:p>
    <w:p>
      <w:pPr>
        <w:pStyle w:val="0"/>
        <w:spacing w:before="240" w:line-rule="auto"/>
        <w:ind w:firstLine="540"/>
        <w:jc w:val="both"/>
      </w:pPr>
      <w:r>
        <w:rPr>
          <w:sz w:val="24"/>
        </w:rPr>
        <w:t xml:space="preserve">4) знак группы или подгруппы электрооборудования (I, II, IIA, IIB, IIC);</w:t>
      </w:r>
    </w:p>
    <w:p>
      <w:pPr>
        <w:pStyle w:val="0"/>
        <w:spacing w:before="240" w:line-rule="auto"/>
        <w:ind w:firstLine="540"/>
        <w:jc w:val="both"/>
      </w:pPr>
      <w:r>
        <w:rPr>
          <w:sz w:val="24"/>
        </w:rPr>
        <w:t xml:space="preserve">5) знак температурного класса электрооборудования (Т1, Т2, Т3, Т4, Т5, Т6).</w:t>
      </w:r>
    </w:p>
    <w:p>
      <w:pPr>
        <w:pStyle w:val="0"/>
        <w:spacing w:before="240" w:line-rule="auto"/>
        <w:ind w:firstLine="540"/>
        <w:jc w:val="both"/>
      </w:pPr>
      <w:r>
        <w:rPr>
          <w:sz w:val="24"/>
        </w:rPr>
        <w:t xml:space="preserve">9. </w:t>
      </w:r>
      <w:r>
        <w:rPr>
          <w:sz w:val="24"/>
        </w:rPr>
        <w:t xml:space="preserve">Методы</w:t>
      </w:r>
      <w:r>
        <w:rPr>
          <w:sz w:val="24"/>
        </w:rPr>
        <w:t xml:space="preserve"> испытания взрывозащищенного электрооборудования на принадлежность к соответствующему уровню, виду, группе (подгруппе), температурному классу устанавливаются нормативными документами по пожарной безопасности.</w:t>
      </w:r>
    </w:p>
    <w:p>
      <w:pPr>
        <w:pStyle w:val="0"/>
        <w:ind w:firstLine="540"/>
        <w:jc w:val="both"/>
      </w:pPr>
      <w:r>
        <w:rPr>
          <w:sz w:val="24"/>
        </w:rPr>
      </w:r>
    </w:p>
    <w:p>
      <w:pPr>
        <w:pStyle w:val="2"/>
        <w:outlineLvl w:val="2"/>
        <w:jc w:val="center"/>
      </w:pPr>
      <w:r>
        <w:rPr>
          <w:sz w:val="24"/>
        </w:rPr>
        <w:t xml:space="preserve">Глава 7. КЛАССИФИКАЦИЯ НАРУЖНЫХ УСТАНОВОК</w:t>
      </w:r>
    </w:p>
    <w:p>
      <w:pPr>
        <w:pStyle w:val="2"/>
        <w:jc w:val="center"/>
      </w:pPr>
      <w:r>
        <w:rPr>
          <w:sz w:val="24"/>
        </w:rPr>
        <w:t xml:space="preserve">ПО ПОЖАРНОЙ ОПАСНОСТИ</w:t>
      </w:r>
    </w:p>
    <w:p>
      <w:pPr>
        <w:pStyle w:val="0"/>
        <w:ind w:firstLine="540"/>
        <w:jc w:val="both"/>
      </w:pPr>
      <w:r>
        <w:rPr>
          <w:sz w:val="24"/>
        </w:rPr>
      </w:r>
    </w:p>
    <w:p>
      <w:pPr>
        <w:pStyle w:val="2"/>
        <w:outlineLvl w:val="3"/>
        <w:ind w:firstLine="540"/>
        <w:jc w:val="both"/>
      </w:pPr>
      <w:r>
        <w:rPr>
          <w:sz w:val="24"/>
        </w:rPr>
        <w:t xml:space="preserve">Статья 24. Цель классификации наружных установок по пожарной опасности</w:t>
      </w:r>
    </w:p>
    <w:p>
      <w:pPr>
        <w:pStyle w:val="0"/>
        <w:ind w:firstLine="540"/>
        <w:jc w:val="both"/>
      </w:pPr>
      <w:r>
        <w:rPr>
          <w:sz w:val="24"/>
        </w:rPr>
      </w:r>
    </w:p>
    <w:p>
      <w:pPr>
        <w:pStyle w:val="0"/>
        <w:ind w:firstLine="540"/>
        <w:jc w:val="both"/>
      </w:pPr>
      <w:r>
        <w:rPr>
          <w:sz w:val="24"/>
        </w:rPr>
        <w:t xml:space="preserve">1. Классификация наружных установок по пожарной опасности используется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на наружных установках.</w:t>
      </w:r>
    </w:p>
    <w:p>
      <w:pPr>
        <w:pStyle w:val="0"/>
        <w:spacing w:before="240" w:line-rule="auto"/>
        <w:ind w:firstLine="540"/>
        <w:jc w:val="both"/>
      </w:pPr>
      <w:r>
        <w:rPr>
          <w:sz w:val="24"/>
        </w:rPr>
        <w:t xml:space="preserve">2. Классификация наружных установок по пожарной опасности основывается на определении их принадлежности к соответствующей категории.</w:t>
      </w:r>
    </w:p>
    <w:p>
      <w:pPr>
        <w:pStyle w:val="0"/>
        <w:spacing w:before="240" w:line-rule="auto"/>
        <w:ind w:firstLine="540"/>
        <w:jc w:val="both"/>
      </w:pPr>
      <w:r>
        <w:rPr>
          <w:sz w:val="24"/>
        </w:rPr>
        <w:t xml:space="preserve">3. Категории наружных установок по пожарной опасности должны указываться в проектной документации на объекты капитального строительства и реконструкции, а обозначение категорий должно быть указано на установке.</w:t>
      </w:r>
    </w:p>
    <w:p>
      <w:pPr>
        <w:pStyle w:val="0"/>
        <w:ind w:firstLine="540"/>
        <w:jc w:val="both"/>
      </w:pPr>
      <w:r>
        <w:rPr>
          <w:sz w:val="24"/>
        </w:rPr>
      </w:r>
    </w:p>
    <w:p>
      <w:pPr>
        <w:pStyle w:val="2"/>
        <w:outlineLvl w:val="3"/>
        <w:ind w:firstLine="540"/>
        <w:jc w:val="both"/>
      </w:pPr>
      <w:r>
        <w:rPr>
          <w:sz w:val="24"/>
        </w:rPr>
        <w:t xml:space="preserve">Статья 25. Определение категорий наружных установок по пожарной опасности</w:t>
      </w:r>
    </w:p>
    <w:p>
      <w:pPr>
        <w:pStyle w:val="0"/>
        <w:ind w:firstLine="540"/>
        <w:jc w:val="both"/>
      </w:pPr>
      <w:r>
        <w:rPr>
          <w:sz w:val="24"/>
        </w:rPr>
      </w:r>
    </w:p>
    <w:p>
      <w:pPr>
        <w:pStyle w:val="0"/>
        <w:ind w:firstLine="540"/>
        <w:jc w:val="both"/>
      </w:pPr>
      <w:r>
        <w:rPr>
          <w:sz w:val="24"/>
        </w:rPr>
        <w:t xml:space="preserve">1. По пожарной опасности наружные установки подразделяются на следующие категории:</w:t>
      </w:r>
    </w:p>
    <w:p>
      <w:pPr>
        <w:pStyle w:val="0"/>
        <w:spacing w:before="240" w:line-rule="auto"/>
        <w:ind w:firstLine="540"/>
        <w:jc w:val="both"/>
      </w:pPr>
      <w:r>
        <w:rPr>
          <w:sz w:val="24"/>
        </w:rPr>
        <w:t xml:space="preserve">1) повышенная взрывопожароопасность (АН);</w:t>
      </w:r>
    </w:p>
    <w:p>
      <w:pPr>
        <w:pStyle w:val="0"/>
        <w:spacing w:before="240" w:line-rule="auto"/>
        <w:ind w:firstLine="540"/>
        <w:jc w:val="both"/>
      </w:pPr>
      <w:r>
        <w:rPr>
          <w:sz w:val="24"/>
        </w:rPr>
        <w:t xml:space="preserve">2) взрывопожароопасность (БН);</w:t>
      </w:r>
    </w:p>
    <w:p>
      <w:pPr>
        <w:pStyle w:val="0"/>
        <w:spacing w:before="240" w:line-rule="auto"/>
        <w:ind w:firstLine="540"/>
        <w:jc w:val="both"/>
      </w:pPr>
      <w:r>
        <w:rPr>
          <w:sz w:val="24"/>
        </w:rPr>
        <w:t xml:space="preserve">3) пожароопасность (ВН);</w:t>
      </w:r>
    </w:p>
    <w:p>
      <w:pPr>
        <w:pStyle w:val="0"/>
        <w:spacing w:before="240" w:line-rule="auto"/>
        <w:ind w:firstLine="540"/>
        <w:jc w:val="both"/>
      </w:pPr>
      <w:r>
        <w:rPr>
          <w:sz w:val="24"/>
        </w:rPr>
        <w:t xml:space="preserve">4) умеренная пожароопасность (ГН);</w:t>
      </w:r>
    </w:p>
    <w:p>
      <w:pPr>
        <w:pStyle w:val="0"/>
        <w:spacing w:before="240" w:line-rule="auto"/>
        <w:ind w:firstLine="540"/>
        <w:jc w:val="both"/>
      </w:pPr>
      <w:r>
        <w:rPr>
          <w:sz w:val="24"/>
        </w:rPr>
        <w:t xml:space="preserve">5) пониженная пожароопасность (ДН).</w:t>
      </w:r>
    </w:p>
    <w:p>
      <w:pPr>
        <w:pStyle w:val="0"/>
        <w:spacing w:before="240" w:line-rule="auto"/>
        <w:ind w:firstLine="540"/>
        <w:jc w:val="both"/>
      </w:pPr>
      <w:r>
        <w:rPr>
          <w:sz w:val="24"/>
        </w:rPr>
        <w:t xml:space="preserve">2. Категории наружных установок по пожарной опасности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w:t>
      </w:r>
    </w:p>
    <w:p>
      <w:pPr>
        <w:pStyle w:val="0"/>
        <w:spacing w:before="240" w:line-rule="auto"/>
        <w:ind w:firstLine="540"/>
        <w:jc w:val="both"/>
      </w:pPr>
      <w:r>
        <w:rPr>
          <w:sz w:val="24"/>
        </w:rPr>
        <w:t xml:space="preserve">3. Установка относится к категории АН, если в ней присутствуют (хранятся, перерабатываются, транспортируются) горючие газы, легковоспламеняющиеся жидкости с температурой вспышки не более 28 градусов Цельсия, вещества и (или) материалы, способные гореть при взаимодействии с водой, кислородом воздуха и (или) друг с другом (при условии, что величина пожарного риска при возможном сгорании указанных веществ с образованием волн давления превышает одну миллионную в год на расстоянии 30 метров от наружной установки).</w:t>
      </w:r>
    </w:p>
    <w:p>
      <w:pPr>
        <w:pStyle w:val="0"/>
        <w:spacing w:before="240" w:line-rule="auto"/>
        <w:ind w:firstLine="540"/>
        <w:jc w:val="both"/>
      </w:pPr>
      <w:r>
        <w:rPr>
          <w:sz w:val="24"/>
        </w:rPr>
        <w:t xml:space="preserve">4. Установка относится к категории БН, если в ней присутствуют, хранятся, перерабатываются или транспортируются горючие пыли и (или) волокна, легковоспламеняющиеся жидкости с температурой вспышки более 28 градусов Цельсия, горючие жидкости (при условии, что величина пожарного риска при возможном сгорании пыле- и (или) паровоздушных смесей с образованием волн давления превышает одну миллионную в год на расстоянии 30 метров от наружной установки).</w:t>
      </w:r>
    </w:p>
    <w:p>
      <w:pPr>
        <w:pStyle w:val="0"/>
        <w:spacing w:before="240" w:line-rule="auto"/>
        <w:ind w:firstLine="540"/>
        <w:jc w:val="both"/>
      </w:pPr>
      <w:r>
        <w:rPr>
          <w:sz w:val="24"/>
        </w:rPr>
        <w:t xml:space="preserve">5. Установка относится к категории ВН, если в ней присутствуют (хранятся, перерабатываются, транспортируются) горючие и (или) трудногорючие жидкости, твердые горючие и (или) трудногорючие вещества и (или) материалы (в том числе пыли и (или) волокна), вещества и (или) материалы, способные при взаимодействии с водой, кислородом воздуха и (или) друг с другом гореть, и если не реализуются критерии, позволяющие отнести установку к категории АН или БН (при условии, что величина пожарного риска при возможном сгорании указанных веществ и (или) материалов превышает одну миллионную в год на расстоянии 30 метров от наружной установки).</w:t>
      </w:r>
    </w:p>
    <w:p>
      <w:pPr>
        <w:pStyle w:val="0"/>
        <w:spacing w:before="240" w:line-rule="auto"/>
        <w:ind w:firstLine="540"/>
        <w:jc w:val="both"/>
      </w:pPr>
      <w:r>
        <w:rPr>
          <w:sz w:val="24"/>
        </w:rPr>
        <w:t xml:space="preserve">6. 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газы, жидкости и (или) твердые вещества, которые сжигаются или утилизируются в качестве топлива.</w:t>
      </w:r>
    </w:p>
    <w:p>
      <w:pPr>
        <w:pStyle w:val="0"/>
        <w:spacing w:before="240" w:line-rule="auto"/>
        <w:ind w:firstLine="540"/>
        <w:jc w:val="both"/>
      </w:pPr>
      <w:r>
        <w:rPr>
          <w:sz w:val="24"/>
        </w:rPr>
        <w:t xml:space="preserve">7. 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состоянии и если по перечисленным выше критериям она не относится к категории АН, БН, ВН или ГН.</w:t>
      </w:r>
    </w:p>
    <w:p>
      <w:pPr>
        <w:pStyle w:val="0"/>
        <w:spacing w:before="240" w:line-rule="auto"/>
        <w:ind w:firstLine="540"/>
        <w:jc w:val="both"/>
      </w:pPr>
      <w:r>
        <w:rPr>
          <w:sz w:val="24"/>
        </w:rPr>
        <w:t xml:space="preserve">8. Определение категорий наружных установок по пожарной опасности осуществляется путем последовательной проверки их принадлежности к категориям от наиболее опасной (АН) к наименее опасной (ДН).</w:t>
      </w:r>
    </w:p>
    <w:p>
      <w:pPr>
        <w:pStyle w:val="0"/>
        <w:spacing w:before="240" w:line-rule="auto"/>
        <w:ind w:firstLine="540"/>
        <w:jc w:val="both"/>
      </w:pPr>
      <w:r>
        <w:rPr>
          <w:sz w:val="24"/>
        </w:rPr>
        <w:t xml:space="preserve">9. </w:t>
      </w:r>
      <w:r>
        <w:rPr>
          <w:sz w:val="24"/>
        </w:rPr>
        <w:t xml:space="preserve">Методы</w:t>
      </w:r>
      <w:r>
        <w:rPr>
          <w:sz w:val="24"/>
        </w:rPr>
        <w:t xml:space="preserve"> определения классификационных признаков категорий наружных установок по пожарной опасности устанавливаются нормативными документами по пожарной безопасности.</w:t>
      </w:r>
    </w:p>
    <w:p>
      <w:pPr>
        <w:pStyle w:val="0"/>
        <w:ind w:firstLine="540"/>
        <w:jc w:val="both"/>
      </w:pPr>
      <w:r>
        <w:rPr>
          <w:sz w:val="24"/>
        </w:rPr>
      </w:r>
    </w:p>
    <w:p>
      <w:pPr>
        <w:pStyle w:val="2"/>
        <w:outlineLvl w:val="2"/>
        <w:jc w:val="center"/>
      </w:pPr>
      <w:r>
        <w:rPr>
          <w:sz w:val="24"/>
        </w:rPr>
        <w:t xml:space="preserve">Глава 8. КЛАССИФИКАЦИЯ ЗДАНИЙ, СООРУЖЕНИЙ</w:t>
      </w:r>
    </w:p>
    <w:p>
      <w:pPr>
        <w:pStyle w:val="2"/>
        <w:jc w:val="center"/>
      </w:pPr>
      <w:r>
        <w:rPr>
          <w:sz w:val="24"/>
        </w:rPr>
        <w:t xml:space="preserve">И ПОМЕЩЕНИЙ ПО ПОЖАРНОЙ И ВЗРЫВОПОЖАРНОЙ ОПАСНОСТИ</w:t>
      </w:r>
    </w:p>
    <w:p>
      <w:pPr>
        <w:pStyle w:val="0"/>
        <w:jc w:val="center"/>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26. Цель классификации зданий, сооружений и помещений по пожарной и взрывопожарной 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Классификация зданий, сооружений и помещений по пожарной и взрывопожарной опасности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 сооружениях и помещениях.</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27. Определение категории зданий, сооружений и помещений по пожарной и взрывопожарной 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w:t>
      </w:r>
    </w:p>
    <w:p>
      <w:pPr>
        <w:pStyle w:val="0"/>
        <w:spacing w:before="240" w:line-rule="auto"/>
        <w:ind w:firstLine="540"/>
        <w:jc w:val="both"/>
      </w:pPr>
      <w:r>
        <w:rPr>
          <w:sz w:val="24"/>
        </w:rPr>
        <w:t xml:space="preserve">1) повышенная взрывопожароопасность (А);</w:t>
      </w:r>
    </w:p>
    <w:p>
      <w:pPr>
        <w:pStyle w:val="0"/>
        <w:spacing w:before="240" w:line-rule="auto"/>
        <w:ind w:firstLine="540"/>
        <w:jc w:val="both"/>
      </w:pPr>
      <w:r>
        <w:rPr>
          <w:sz w:val="24"/>
        </w:rPr>
        <w:t xml:space="preserve">2) взрывопожароопасность (Б);</w:t>
      </w:r>
    </w:p>
    <w:p>
      <w:pPr>
        <w:pStyle w:val="0"/>
        <w:spacing w:before="240" w:line-rule="auto"/>
        <w:ind w:firstLine="540"/>
        <w:jc w:val="both"/>
      </w:pPr>
      <w:r>
        <w:rPr>
          <w:sz w:val="24"/>
        </w:rPr>
        <w:t xml:space="preserve">3) пожароопасность (В1 - В4);</w:t>
      </w:r>
    </w:p>
    <w:p>
      <w:pPr>
        <w:pStyle w:val="0"/>
        <w:spacing w:before="240" w:line-rule="auto"/>
        <w:ind w:firstLine="540"/>
        <w:jc w:val="both"/>
      </w:pPr>
      <w:r>
        <w:rPr>
          <w:sz w:val="24"/>
        </w:rPr>
        <w:t xml:space="preserve">4) умеренная пожароопасность (Г);</w:t>
      </w:r>
    </w:p>
    <w:p>
      <w:pPr>
        <w:pStyle w:val="0"/>
        <w:spacing w:before="240" w:line-rule="auto"/>
        <w:ind w:firstLine="540"/>
        <w:jc w:val="both"/>
      </w:pPr>
      <w:r>
        <w:rPr>
          <w:sz w:val="24"/>
        </w:rPr>
        <w:t xml:space="preserve">5) пониженная пожароопасность (Д).</w:t>
      </w:r>
    </w:p>
    <w:p>
      <w:pPr>
        <w:pStyle w:val="0"/>
        <w:spacing w:before="240" w:line-rule="auto"/>
        <w:ind w:firstLine="540"/>
        <w:jc w:val="both"/>
      </w:pPr>
      <w:r>
        <w:rPr>
          <w:sz w:val="24"/>
        </w:rPr>
        <w:t xml:space="preserve">2. Здания, сооружения и помещения иного назначения разделению на категории не подлежат.</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pPr>
        <w:pStyle w:val="0"/>
        <w:spacing w:before="240" w:line-rule="auto"/>
        <w:ind w:firstLine="540"/>
        <w:jc w:val="both"/>
      </w:pPr>
      <w:r>
        <w:rPr>
          <w:sz w:val="24"/>
        </w:rPr>
        <w:t xml:space="preserve">4. Определение категорий помещений следует осуществлять путем последовательной проверки принадлежности помещения к категориям от наиболее опасной (А) к наименее опасной (Д).</w:t>
      </w:r>
    </w:p>
    <w:p>
      <w:pPr>
        <w:pStyle w:val="0"/>
        <w:spacing w:before="240" w:line-rule="auto"/>
        <w:ind w:firstLine="540"/>
        <w:jc w:val="both"/>
      </w:pPr>
      <w:r>
        <w:rPr>
          <w:sz w:val="24"/>
        </w:rPr>
        <w:t xml:space="preserve">5. К категории А относятся помещения, в которых находятся (обращаются) горючие газы, легковоспламеняющиеся жидкости с температурой вспышки не более 28 градусов Цельсия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килопаскалей, и (или)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килопаскалей.</w:t>
      </w:r>
    </w:p>
    <w:p>
      <w:pPr>
        <w:pStyle w:val="0"/>
        <w:spacing w:before="240" w:line-rule="auto"/>
        <w:ind w:firstLine="540"/>
        <w:jc w:val="both"/>
      </w:pPr>
      <w:r>
        <w:rPr>
          <w:sz w:val="24"/>
        </w:rPr>
        <w:t xml:space="preserve">6. К категории Б относятся помещения, в которых находятся (обращаются) горючие пыли или волокна, легковоспламеняющиеся жидкости с температурой вспышки более 28 градусов Цельсия,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килопаскалей.</w:t>
      </w:r>
    </w:p>
    <w:p>
      <w:pPr>
        <w:pStyle w:val="0"/>
        <w:spacing w:before="240" w:line-rule="auto"/>
        <w:ind w:firstLine="540"/>
        <w:jc w:val="both"/>
      </w:pPr>
      <w:r>
        <w:rPr>
          <w:sz w:val="24"/>
        </w:rPr>
        <w:t xml:space="preserve">7. К категориям В1 - В4 относятся помещения, в которых находятся (обращаются) 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находятся (обращаются), не относятся к категории А или Б.</w:t>
      </w:r>
    </w:p>
    <w:p>
      <w:pPr>
        <w:pStyle w:val="0"/>
        <w:spacing w:before="240" w:line-rule="auto"/>
        <w:ind w:firstLine="540"/>
        <w:jc w:val="both"/>
      </w:pPr>
      <w:r>
        <w:rPr>
          <w:sz w:val="24"/>
        </w:rPr>
        <w:t xml:space="preserve">8. Отнесение помещения к категории В1, В2, В3 или В4 осуществляется в зависимости от количества и способа размещения пожарной нагрузки в указанном помещении и его объемно-планировочных характеристик, а также от пожароопасных свойств веществ и материалов, составляющих пожарную нагрузку.</w:t>
      </w:r>
    </w:p>
    <w:p>
      <w:pPr>
        <w:pStyle w:val="0"/>
        <w:spacing w:before="240" w:line-rule="auto"/>
        <w:ind w:firstLine="540"/>
        <w:jc w:val="both"/>
      </w:pPr>
      <w:r>
        <w:rPr>
          <w:sz w:val="24"/>
        </w:rPr>
        <w:t xml:space="preserve">9. К категории Г относятся помещения, в которых находятся (обращаются)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и (или) горючие газы, жидкости и твердые вещества, которые сжигаются или утилизируются в качестве топлива.</w:t>
      </w:r>
    </w:p>
    <w:p>
      <w:pPr>
        <w:pStyle w:val="0"/>
        <w:spacing w:before="240" w:line-rule="auto"/>
        <w:ind w:firstLine="540"/>
        <w:jc w:val="both"/>
      </w:pPr>
      <w:r>
        <w:rPr>
          <w:sz w:val="24"/>
        </w:rPr>
        <w:t xml:space="preserve">10. К категории Д относятся помещения, в которых находятся (обращаются) негорючие вещества и материалы в холодном состоянии.</w:t>
      </w:r>
    </w:p>
    <w:p>
      <w:pPr>
        <w:pStyle w:val="0"/>
        <w:spacing w:before="240" w:line-rule="auto"/>
        <w:ind w:firstLine="540"/>
        <w:jc w:val="both"/>
      </w:pPr>
      <w:r>
        <w:rPr>
          <w:sz w:val="24"/>
        </w:rPr>
        <w:t xml:space="preserve">11. Категории зданий и сооружений по пожарной и взрывопожарной опасности определяются исходя из доли и суммированной площади помещений той или иной категории опасности в этом здании, сооружении.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12. Здание, сооружение относятся к категории А, если в нем суммированная площадь помещений категории А превышает 5 процентов площади всех помещений или 200 квадратных метров.</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13. Здание, сооружение не относятся к категории А, если суммированная площадь помещений категории А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14. Здание, сооружение относятся к категории Б, если одновременно выполнены следующие условия: здание, сооружение не относятся к категории А и суммированная площадь помещений категорий А и Б превышает 5 процентов суммированной площади всех помещений или 200 квадратных метров.</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15. Здание, сооружение не относятся к категории Б, если суммированная площадь помещений категорий А и Б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16. Здание, сооружение относятся к категории В, если одновременно выполнены следующие условия: здание, сооружение не относятся к категории А или Б и суммированная площадь помещений категорий А, Б, В1, В2 и В3 превышает 5 процентов (10 процентов, если в здании, сооружении отсутствуют помещения категорий А и Б) суммированной площади всех помещений.</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17. Здание, сооружение не относятся к категории В, если суммированная площадь помещений категорий А, Б, В1, В2 и В3 в здании, сооружении не превышает 25 процентов суммированной площади всех размещенных в нем помещений (но не более 3500 квадратных метров) и эти помещения оснащаются установками автоматического пожаротушения.</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18. Здание, сооружение относятся к категории Г, если одновременно выполнены следующие условия: здание, сооружение не относятся к категории А, Б или В и суммированная площадь помещений категорий А, Б, В1, В2, В3 и Г превышает 5 процентов суммированной площади всех помещений.</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19. Здание, сооружение не относятся к категории Г, если суммированная площадь помещений категорий А, Б, В1, В2, В3 и Г в здании, сооружении не превышает 25 процентов суммированной площади всех размещенных в нем помещений (но не более 5000 квадратных метров) и помещения категорий А, Б, В1, В2 и В3 оснащаются установками автоматического пожаротушения.</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20. Здание, сооружение относятся к категории Д, если оно не относится к категории А, Б, В или Г.</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21. </w:t>
      </w:r>
      <w:r>
        <w:rPr>
          <w:sz w:val="24"/>
        </w:rPr>
        <w:t xml:space="preserve">Методы</w:t>
      </w:r>
      <w:r>
        <w:rPr>
          <w:sz w:val="24"/>
        </w:rPr>
        <w:t xml:space="preserve"> определения классификационных признаков отнесения зданий, сооружений и помещений производственного и складского назначения к категориям по пожарной и взрывопожарной опасности устанавливаются нормативными документами по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22. Категории зданий, сооружений и помещений производственного и складского назначения по пожарной и взрывопожарной опасности указываются в проектной документации на объекты капитального строительства и реконструкции.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2"/>
        <w:jc w:val="center"/>
      </w:pPr>
      <w:r>
        <w:rPr>
          <w:sz w:val="24"/>
        </w:rPr>
        <w:t xml:space="preserve">Глава 9. ПОЖАРНО-ТЕХНИЧЕСКАЯ КЛАССИФИКАЦИЯ ЗДАНИЙ,</w:t>
      </w:r>
    </w:p>
    <w:p>
      <w:pPr>
        <w:pStyle w:val="2"/>
        <w:jc w:val="center"/>
      </w:pPr>
      <w:r>
        <w:rPr>
          <w:sz w:val="24"/>
        </w:rPr>
        <w:t xml:space="preserve">СООРУЖЕНИЙ И ПОЖАРНЫХ ОТСЕКОВ</w:t>
      </w:r>
    </w:p>
    <w:p>
      <w:pPr>
        <w:pStyle w:val="0"/>
        <w:jc w:val="center"/>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28. Цель классификации</w:t>
      </w:r>
    </w:p>
    <w:p>
      <w:pPr>
        <w:pStyle w:val="0"/>
        <w:ind w:firstLine="540"/>
        <w:jc w:val="both"/>
      </w:pPr>
      <w:r>
        <w:rPr>
          <w:sz w:val="24"/>
        </w:rPr>
      </w:r>
    </w:p>
    <w:p>
      <w:pPr>
        <w:pStyle w:val="0"/>
        <w:ind w:firstLine="540"/>
        <w:jc w:val="both"/>
      </w:pPr>
      <w:r>
        <w:rPr>
          <w:sz w:val="24"/>
        </w:rPr>
        <w:t xml:space="preserve">1. Пожарно-техническая классификация зданий, сооружений и пожарных отсеков применяется для установления требований пожарной безопасности к системам обеспечения пожарной безопасности зданий, сооружений в зависимости от их функционального назначения и пожарной 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Степень огнестойкости зданий, сооружений и пожарных отсеков, классы их функциональной и конструктивной пожарной опасности указываются в проектной документации на объекты капитального строительства и реконструкции.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29. Пожарно-техническая классификация зданий, сооружений и пожарных отсеков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Классификация зданий, сооружений и пожарных отсеков осуществляется с учетом следующих критериев: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 степень огнестойкости;</w:t>
      </w:r>
    </w:p>
    <w:p>
      <w:pPr>
        <w:pStyle w:val="0"/>
        <w:spacing w:before="240" w:line-rule="auto"/>
        <w:ind w:firstLine="540"/>
        <w:jc w:val="both"/>
      </w:pPr>
      <w:r>
        <w:rPr>
          <w:sz w:val="24"/>
        </w:rPr>
        <w:t xml:space="preserve">2) класс конструктивной пожарной опасности;</w:t>
      </w:r>
    </w:p>
    <w:p>
      <w:pPr>
        <w:pStyle w:val="0"/>
        <w:spacing w:before="240" w:line-rule="auto"/>
        <w:ind w:firstLine="540"/>
        <w:jc w:val="both"/>
      </w:pPr>
      <w:r>
        <w:rPr>
          <w:sz w:val="24"/>
        </w:rPr>
        <w:t xml:space="preserve">3) класс функциональной пожарной опасности.</w:t>
      </w:r>
    </w:p>
    <w:p>
      <w:pPr>
        <w:pStyle w:val="0"/>
        <w:ind w:firstLine="540"/>
        <w:jc w:val="both"/>
      </w:pPr>
      <w:r>
        <w:rPr>
          <w:sz w:val="24"/>
        </w:rPr>
      </w:r>
    </w:p>
    <w:p>
      <w:pPr>
        <w:pStyle w:val="2"/>
        <w:outlineLvl w:val="3"/>
        <w:ind w:firstLine="540"/>
        <w:jc w:val="both"/>
      </w:pPr>
      <w:r>
        <w:rPr>
          <w:sz w:val="24"/>
        </w:rPr>
        <w:t xml:space="preserve">Статья 30. Классификация зданий, сооружений и пожарных отсеков по степени огнестойкости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Здания, сооружения и пожарные отсеки по степени огнестойкости подразделяются на здания, сооружения и пожарные отсеки I, II, III, IV и V степеней огнестойкости.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Порядок определения степени огнестойкости зданий, сооружений и пожарных отсеков устанавливается </w:t>
      </w:r>
      <w:hyperlink w:history="0" w:anchor="P1200" w:tooltip="Статья 87. Требования к огнестойкости и пожарной опасности зданий, сооружений и пожарных отсеков">
        <w:r>
          <w:rPr>
            <w:sz w:val="24"/>
            <w:color w:val="0000ff"/>
          </w:rPr>
          <w:t xml:space="preserve">статьей 87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bookmarkStart w:id="521" w:name="P521"/>
    <w:bookmarkEnd w:id="521"/>
    <w:p>
      <w:pPr>
        <w:pStyle w:val="2"/>
        <w:outlineLvl w:val="3"/>
        <w:ind w:firstLine="540"/>
        <w:jc w:val="both"/>
      </w:pPr>
      <w:r>
        <w:rPr>
          <w:sz w:val="24"/>
        </w:rPr>
        <w:t xml:space="preserve">Статья 31. Классификация зданий, сооружений и пожарных отсеков по конструктивной пожарной 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Здания, сооружения и пожарные отсеки по конструктивной пожарной опасности подразделяются на классы С0, С1, С2 и С3.</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Порядок определения класса конструктивной пожарной опасности зданий, сооружений и пожарных отсеков устанавливается </w:t>
      </w:r>
      <w:hyperlink w:history="0" w:anchor="P1200" w:tooltip="Статья 87. Требования к огнестойкости и пожарной опасности зданий, сооружений и пожарных отсеков">
        <w:r>
          <w:rPr>
            <w:sz w:val="24"/>
            <w:color w:val="0000ff"/>
          </w:rPr>
          <w:t xml:space="preserve">статьей 87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bookmarkStart w:id="529" w:name="P529"/>
    <w:bookmarkEnd w:id="529"/>
    <w:p>
      <w:pPr>
        <w:pStyle w:val="2"/>
        <w:outlineLvl w:val="3"/>
        <w:ind w:firstLine="540"/>
        <w:jc w:val="both"/>
      </w:pPr>
      <w:r>
        <w:rPr>
          <w:sz w:val="24"/>
        </w:rPr>
        <w:t xml:space="preserve">Статья 32. Классификация зданий, сооружений и пожарных отсеков по функциональной пожарной 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Здания (сооружения, пожарные отсеки и части зданий, сооружений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сооружении, возможности пребывания их в состоянии сна подразделяются на: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 Ф1 - здания, предназначенные для постоянного проживания и временного пребывания людей, в том числе:</w:t>
      </w:r>
    </w:p>
    <w:bookmarkStart w:id="535" w:name="P535"/>
    <w:bookmarkEnd w:id="535"/>
    <w:p>
      <w:pPr>
        <w:pStyle w:val="0"/>
        <w:spacing w:before="240" w:line-rule="auto"/>
        <w:ind w:firstLine="540"/>
        <w:jc w:val="both"/>
      </w:pPr>
      <w:r>
        <w:rPr>
          <w:sz w:val="24"/>
        </w:rPr>
        <w:t xml:space="preserve">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w:t>
      </w:r>
    </w:p>
    <w:p>
      <w:pPr>
        <w:pStyle w:val="0"/>
        <w:jc w:val="both"/>
      </w:pPr>
      <w:r>
        <w:rPr>
          <w:sz w:val="24"/>
        </w:rPr>
        <w:t xml:space="preserve">(в ред. Федеральных законов от 02.07.2013 </w:t>
      </w:r>
      <w:r>
        <w:rPr>
          <w:sz w:val="24"/>
        </w:rPr>
        <w:t xml:space="preserve">N 185-ФЗ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б) Ф1.2 - гостиницы, общежития (за исключением общежитий квартирного типа), спальные корпуса санаториев и домов отдыха общего типа, кемпингов;</w:t>
      </w:r>
    </w:p>
    <w:p>
      <w:pPr>
        <w:pStyle w:val="0"/>
        <w:jc w:val="both"/>
      </w:pPr>
      <w:r>
        <w:rPr>
          <w:sz w:val="24"/>
        </w:rPr>
        <w:t xml:space="preserve">(в ред. Федерального </w:t>
      </w:r>
      <w:r>
        <w:rPr>
          <w:sz w:val="24"/>
        </w:rPr>
        <w:t xml:space="preserve">закона</w:t>
      </w:r>
      <w:r>
        <w:rPr>
          <w:sz w:val="24"/>
        </w:rPr>
        <w:t xml:space="preserve"> от 14.07.2022 N 276-ФЗ)</w:t>
      </w:r>
    </w:p>
    <w:bookmarkStart w:id="539" w:name="P539"/>
    <w:bookmarkEnd w:id="539"/>
    <w:p>
      <w:pPr>
        <w:pStyle w:val="0"/>
        <w:spacing w:before="240" w:line-rule="auto"/>
        <w:ind w:firstLine="540"/>
        <w:jc w:val="both"/>
      </w:pPr>
      <w:r>
        <w:rPr>
          <w:sz w:val="24"/>
        </w:rPr>
        <w:t xml:space="preserve">в) Ф1.3 - многоквартирные жилые дома, в том числе общежития квартирного типа;</w:t>
      </w:r>
    </w:p>
    <w:p>
      <w:pPr>
        <w:pStyle w:val="0"/>
        <w:jc w:val="both"/>
      </w:pPr>
      <w:r>
        <w:rPr>
          <w:sz w:val="24"/>
        </w:rPr>
        <w:t xml:space="preserve">(в ред. Федерального </w:t>
      </w:r>
      <w:r>
        <w:rPr>
          <w:sz w:val="24"/>
        </w:rPr>
        <w:t xml:space="preserve">закона</w:t>
      </w:r>
      <w:r>
        <w:rPr>
          <w:sz w:val="24"/>
        </w:rPr>
        <w:t xml:space="preserve"> от 14.07.2022 N 276-ФЗ)</w:t>
      </w:r>
    </w:p>
    <w:bookmarkStart w:id="541" w:name="P541"/>
    <w:bookmarkEnd w:id="541"/>
    <w:p>
      <w:pPr>
        <w:pStyle w:val="0"/>
        <w:spacing w:before="240" w:line-rule="auto"/>
        <w:ind w:firstLine="540"/>
        <w:jc w:val="both"/>
      </w:pPr>
      <w:r>
        <w:rPr>
          <w:sz w:val="24"/>
        </w:rPr>
        <w:t xml:space="preserve">г) Ф1.4 - одноквартирные жилые дома, в том числе блокированные;</w:t>
      </w:r>
    </w:p>
    <w:p>
      <w:pPr>
        <w:pStyle w:val="0"/>
        <w:spacing w:before="240" w:line-rule="auto"/>
        <w:ind w:firstLine="540"/>
        <w:jc w:val="both"/>
      </w:pPr>
      <w:r>
        <w:rPr>
          <w:sz w:val="24"/>
        </w:rPr>
        <w:t xml:space="preserve">2) Ф2 - здания зрелищных и культурно-просветительных учреждений, в том числе:</w:t>
      </w:r>
    </w:p>
    <w:bookmarkStart w:id="543" w:name="P543"/>
    <w:bookmarkEnd w:id="543"/>
    <w:p>
      <w:pPr>
        <w:pStyle w:val="0"/>
        <w:spacing w:before="240" w:line-rule="auto"/>
        <w:ind w:firstLine="540"/>
        <w:jc w:val="both"/>
      </w:pPr>
      <w:r>
        <w:rPr>
          <w:sz w:val="24"/>
        </w:rPr>
        <w:t xml:space="preserve">а)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bookmarkStart w:id="544" w:name="P544"/>
    <w:bookmarkEnd w:id="544"/>
    <w:p>
      <w:pPr>
        <w:pStyle w:val="0"/>
        <w:spacing w:before="240" w:line-rule="auto"/>
        <w:ind w:firstLine="540"/>
        <w:jc w:val="both"/>
      </w:pPr>
      <w:r>
        <w:rPr>
          <w:sz w:val="24"/>
        </w:rPr>
        <w:t xml:space="preserve">б) Ф2.2 - музеи, выставки, танцевальные залы и другие подобные учреждения в закрытых помещениях;</w:t>
      </w:r>
    </w:p>
    <w:p>
      <w:pPr>
        <w:pStyle w:val="0"/>
        <w:spacing w:before="240" w:line-rule="auto"/>
        <w:ind w:firstLine="540"/>
        <w:jc w:val="both"/>
      </w:pPr>
      <w:r>
        <w:rPr>
          <w:sz w:val="24"/>
        </w:rPr>
        <w:t xml:space="preserve">в) Ф2.3 - здания учреждений, указанные в </w:t>
      </w:r>
      <w:hyperlink w:history="0" w:anchor="P543" w:tooltip="а)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
        <w:r>
          <w:rPr>
            <w:sz w:val="24"/>
            <w:color w:val="0000ff"/>
          </w:rPr>
          <w:t xml:space="preserve">подпункте "а"</w:t>
        </w:r>
      </w:hyperlink>
      <w:r>
        <w:rPr>
          <w:sz w:val="24"/>
        </w:rPr>
        <w:t xml:space="preserve"> настоящего пункта, на открытом воздухе;</w:t>
      </w:r>
    </w:p>
    <w:p>
      <w:pPr>
        <w:pStyle w:val="0"/>
        <w:spacing w:before="240" w:line-rule="auto"/>
        <w:ind w:firstLine="540"/>
        <w:jc w:val="both"/>
      </w:pPr>
      <w:r>
        <w:rPr>
          <w:sz w:val="24"/>
        </w:rPr>
        <w:t xml:space="preserve">г) Ф2.4 - здания учреждений, указанные в </w:t>
      </w:r>
      <w:hyperlink w:history="0" w:anchor="P544" w:tooltip="б) Ф2.2 - музеи, выставки, танцевальные залы и другие подобные учреждения в закрытых помещениях;">
        <w:r>
          <w:rPr>
            <w:sz w:val="24"/>
            <w:color w:val="0000ff"/>
          </w:rPr>
          <w:t xml:space="preserve">подпункте "б"</w:t>
        </w:r>
      </w:hyperlink>
      <w:r>
        <w:rPr>
          <w:sz w:val="24"/>
        </w:rPr>
        <w:t xml:space="preserve"> настоящего пункта, на открытом воздухе;</w:t>
      </w:r>
    </w:p>
    <w:p>
      <w:pPr>
        <w:pStyle w:val="0"/>
        <w:spacing w:before="240" w:line-rule="auto"/>
        <w:ind w:firstLine="540"/>
        <w:jc w:val="both"/>
      </w:pPr>
      <w:r>
        <w:rPr>
          <w:sz w:val="24"/>
        </w:rPr>
        <w:t xml:space="preserve">3) Ф3 - здания организаций по обслуживанию населения, в том числе:</w:t>
      </w:r>
    </w:p>
    <w:p>
      <w:pPr>
        <w:pStyle w:val="0"/>
        <w:spacing w:before="240" w:line-rule="auto"/>
        <w:ind w:firstLine="540"/>
        <w:jc w:val="both"/>
      </w:pPr>
      <w:r>
        <w:rPr>
          <w:sz w:val="24"/>
        </w:rPr>
        <w:t xml:space="preserve">а) Ф3.1 - здания организаций торговли;</w:t>
      </w:r>
    </w:p>
    <w:p>
      <w:pPr>
        <w:pStyle w:val="0"/>
        <w:spacing w:before="240" w:line-rule="auto"/>
        <w:ind w:firstLine="540"/>
        <w:jc w:val="both"/>
      </w:pPr>
      <w:r>
        <w:rPr>
          <w:sz w:val="24"/>
        </w:rPr>
        <w:t xml:space="preserve">б) Ф3.2 - здания организаций общественного питания;</w:t>
      </w:r>
    </w:p>
    <w:p>
      <w:pPr>
        <w:pStyle w:val="0"/>
        <w:spacing w:before="240" w:line-rule="auto"/>
        <w:ind w:firstLine="540"/>
        <w:jc w:val="both"/>
      </w:pPr>
      <w:r>
        <w:rPr>
          <w:sz w:val="24"/>
        </w:rPr>
        <w:t xml:space="preserve">в) Ф3.3 - вокзалы;</w:t>
      </w:r>
    </w:p>
    <w:p>
      <w:pPr>
        <w:pStyle w:val="0"/>
        <w:spacing w:before="240" w:line-rule="auto"/>
        <w:ind w:firstLine="540"/>
        <w:jc w:val="both"/>
      </w:pPr>
      <w:r>
        <w:rPr>
          <w:sz w:val="24"/>
        </w:rPr>
        <w:t xml:space="preserve">г) Ф3.4 - здания медицинских организаций, предназначенные для осуществления медицинской деятельности, за исключением зданий, указанных в </w:t>
      </w:r>
      <w:hyperlink w:history="0" w:anchor="P535" w:tooltip="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
        <w:r>
          <w:rPr>
            <w:sz w:val="24"/>
            <w:color w:val="0000ff"/>
          </w:rPr>
          <w:t xml:space="preserve">подпункте "а" пункта 1</w:t>
        </w:r>
      </w:hyperlink>
      <w:r>
        <w:rPr>
          <w:sz w:val="24"/>
        </w:rPr>
        <w:t xml:space="preserve"> настоящей части;</w:t>
      </w:r>
    </w:p>
    <w:p>
      <w:pPr>
        <w:pStyle w:val="0"/>
        <w:jc w:val="both"/>
      </w:pPr>
      <w:r>
        <w:rPr>
          <w:sz w:val="24"/>
        </w:rPr>
        <w:t xml:space="preserve">(пп. "г"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д) Ф3.5 - помещения для посетителей организаций бытового и коммунального обслуживания с нерасчетным числом посадочных мест для посетителей;</w:t>
      </w:r>
    </w:p>
    <w:p>
      <w:pPr>
        <w:pStyle w:val="0"/>
        <w:spacing w:before="240" w:line-rule="auto"/>
        <w:ind w:firstLine="540"/>
        <w:jc w:val="both"/>
      </w:pPr>
      <w:r>
        <w:rPr>
          <w:sz w:val="24"/>
        </w:rPr>
        <w:t xml:space="preserve">е) Ф3.6 - физкультурно-оздоровительные комплексы и спортивно-тренировочные учреждения с помещениями без трибун для зрителей, бытовые помещения, бани;</w:t>
      </w:r>
    </w:p>
    <w:p>
      <w:pPr>
        <w:pStyle w:val="0"/>
        <w:spacing w:before="240" w:line-rule="auto"/>
        <w:ind w:firstLine="540"/>
        <w:jc w:val="both"/>
      </w:pPr>
      <w:r>
        <w:rPr>
          <w:sz w:val="24"/>
        </w:rPr>
        <w:t xml:space="preserve">ж) Ф3.7 - объекты религиозного назначения;</w:t>
      </w:r>
    </w:p>
    <w:p>
      <w:pPr>
        <w:pStyle w:val="0"/>
        <w:jc w:val="both"/>
      </w:pPr>
      <w:r>
        <w:rPr>
          <w:sz w:val="24"/>
        </w:rPr>
        <w:t xml:space="preserve">(пп. "ж" введен Федеральным </w:t>
      </w:r>
      <w:r>
        <w:rPr>
          <w:sz w:val="24"/>
        </w:rPr>
        <w:t xml:space="preserve">законом</w:t>
      </w:r>
      <w:r>
        <w:rPr>
          <w:sz w:val="24"/>
        </w:rPr>
        <w:t xml:space="preserve"> от 29.07.2017 N 244-ФЗ)</w:t>
      </w:r>
    </w:p>
    <w:p>
      <w:pPr>
        <w:pStyle w:val="0"/>
        <w:spacing w:before="240" w:line-rule="auto"/>
        <w:ind w:firstLine="540"/>
        <w:jc w:val="both"/>
      </w:pPr>
      <w:r>
        <w:rPr>
          <w:sz w:val="24"/>
        </w:rPr>
        <w:t xml:space="preserve">4) Ф4 - здания образовательных организаций, научных и проектных организаций, органов управления учреждений, в том числе:</w:t>
      </w:r>
    </w:p>
    <w:p>
      <w:pPr>
        <w:pStyle w:val="0"/>
        <w:jc w:val="both"/>
      </w:pPr>
      <w:r>
        <w:rPr>
          <w:sz w:val="24"/>
        </w:rPr>
        <w:t xml:space="preserve">(в ред. Федерального </w:t>
      </w:r>
      <w:r>
        <w:rPr>
          <w:sz w:val="24"/>
        </w:rPr>
        <w:t xml:space="preserve">закона</w:t>
      </w:r>
      <w:r>
        <w:rPr>
          <w:sz w:val="24"/>
        </w:rPr>
        <w:t xml:space="preserve"> от 02.07.2013 N 185-ФЗ)</w:t>
      </w:r>
    </w:p>
    <w:bookmarkStart w:id="559" w:name="P559"/>
    <w:bookmarkEnd w:id="559"/>
    <w:p>
      <w:pPr>
        <w:pStyle w:val="0"/>
        <w:spacing w:before="240" w:line-rule="auto"/>
        <w:ind w:firstLine="540"/>
        <w:jc w:val="both"/>
      </w:pPr>
      <w:r>
        <w:rPr>
          <w:sz w:val="24"/>
        </w:rPr>
        <w:t xml:space="preserve">а) Ф4.1 - здания общеобразовательных организаций, организаций дополнительного образования детей, профессиональных образовательных организаций;</w:t>
      </w:r>
    </w:p>
    <w:p>
      <w:pPr>
        <w:pStyle w:val="0"/>
        <w:jc w:val="both"/>
      </w:pPr>
      <w:r>
        <w:rPr>
          <w:sz w:val="24"/>
        </w:rPr>
        <w:t xml:space="preserve">(пп. "а" в ред. Федерального </w:t>
      </w:r>
      <w:r>
        <w:rPr>
          <w:sz w:val="24"/>
        </w:rPr>
        <w:t xml:space="preserve">закона</w:t>
      </w:r>
      <w:r>
        <w:rPr>
          <w:sz w:val="24"/>
        </w:rPr>
        <w:t xml:space="preserve"> от 02.07.2013 N 185-ФЗ)</w:t>
      </w:r>
    </w:p>
    <w:bookmarkStart w:id="561" w:name="P561"/>
    <w:bookmarkEnd w:id="561"/>
    <w:p>
      <w:pPr>
        <w:pStyle w:val="0"/>
        <w:spacing w:before="240" w:line-rule="auto"/>
        <w:ind w:firstLine="540"/>
        <w:jc w:val="both"/>
      </w:pPr>
      <w:r>
        <w:rPr>
          <w:sz w:val="24"/>
        </w:rPr>
        <w:t xml:space="preserve">б) Ф4.2 - здания образовательных организаций высшего образования, организаций дополнительного профессионального образования;</w:t>
      </w:r>
    </w:p>
    <w:p>
      <w:pPr>
        <w:pStyle w:val="0"/>
        <w:jc w:val="both"/>
      </w:pPr>
      <w:r>
        <w:rPr>
          <w:sz w:val="24"/>
        </w:rPr>
        <w:t xml:space="preserve">(пп. "б" 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в) Ф4.3 -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w:t>
      </w:r>
    </w:p>
    <w:p>
      <w:pPr>
        <w:pStyle w:val="0"/>
        <w:spacing w:before="240" w:line-rule="auto"/>
        <w:ind w:firstLine="540"/>
        <w:jc w:val="both"/>
      </w:pPr>
      <w:r>
        <w:rPr>
          <w:sz w:val="24"/>
        </w:rPr>
        <w:t xml:space="preserve">г) Ф4.4 - здания пожарных депо;</w:t>
      </w:r>
    </w:p>
    <w:p>
      <w:pPr>
        <w:pStyle w:val="0"/>
        <w:spacing w:before="240" w:line-rule="auto"/>
        <w:ind w:firstLine="540"/>
        <w:jc w:val="both"/>
      </w:pPr>
      <w:r>
        <w:rPr>
          <w:sz w:val="24"/>
        </w:rPr>
        <w:t xml:space="preserve">5) Ф5 - здания производственного или складского назначения, в том числе:</w:t>
      </w:r>
    </w:p>
    <w:p>
      <w:pPr>
        <w:pStyle w:val="0"/>
        <w:spacing w:before="240" w:line-rule="auto"/>
        <w:ind w:firstLine="540"/>
        <w:jc w:val="both"/>
      </w:pPr>
      <w:r>
        <w:rPr>
          <w:sz w:val="24"/>
        </w:rPr>
        <w:t xml:space="preserve">а) Ф5.1 - производственные здания, сооружения, производственные и лабораторные помещения, мастерские, крематории;</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б) Ф5.2 - складские здания, сооружения, стоянки для автомобилей без технического обслуживания и ремонта, книгохранилища, архивы, складские помещения;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в) Ф5.3 - здания сельскохозяйственного назначения.</w:t>
      </w:r>
    </w:p>
    <w:p>
      <w:pPr>
        <w:pStyle w:val="0"/>
        <w:spacing w:before="240" w:line-rule="auto"/>
        <w:ind w:firstLine="540"/>
        <w:jc w:val="both"/>
      </w:pPr>
      <w:r>
        <w:rPr>
          <w:sz w:val="24"/>
        </w:rPr>
        <w:t xml:space="preserve">2. Правила отнесения зданий, сооружений и пожарных отсеков к классам по конструктивной пожарной опасности определяются в нормативных документах по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33. Классификация зданий пожарных депо</w:t>
      </w:r>
    </w:p>
    <w:p>
      <w:pPr>
        <w:pStyle w:val="0"/>
        <w:ind w:firstLine="540"/>
        <w:jc w:val="both"/>
      </w:pPr>
      <w:r>
        <w:rPr>
          <w:sz w:val="24"/>
        </w:rPr>
      </w:r>
    </w:p>
    <w:p>
      <w:pPr>
        <w:pStyle w:val="0"/>
        <w:ind w:firstLine="540"/>
        <w:jc w:val="both"/>
      </w:pPr>
      <w:r>
        <w:rPr>
          <w:sz w:val="24"/>
        </w:rPr>
        <w:t xml:space="preserve">1. Здания пожарных депо в зависимости от назначения, количества автомобилей, состава помещений и их площадей подразделяются на следующие типы:</w:t>
      </w:r>
    </w:p>
    <w:p>
      <w:pPr>
        <w:pStyle w:val="0"/>
        <w:spacing w:before="240" w:line-rule="auto"/>
        <w:ind w:firstLine="540"/>
        <w:jc w:val="both"/>
      </w:pPr>
      <w:r>
        <w:rPr>
          <w:sz w:val="24"/>
        </w:rPr>
        <w:t xml:space="preserve">1) I - пожарные депо на 6, 8, 10 и 12 автомобилей для охраны городских населенных пунктов;</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II - пожарные депо на 2, 4 и 6 автомобилей для охраны городских населенных пунктов;</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 III - пожарные депо на 6, 8, 10 и 12 автомобилей для охраны организаций;</w:t>
      </w:r>
    </w:p>
    <w:p>
      <w:pPr>
        <w:pStyle w:val="0"/>
        <w:spacing w:before="240" w:line-rule="auto"/>
        <w:ind w:firstLine="540"/>
        <w:jc w:val="both"/>
      </w:pPr>
      <w:r>
        <w:rPr>
          <w:sz w:val="24"/>
        </w:rPr>
        <w:t xml:space="preserve">4) IV - пожарные депо на 2, 4 и 6 автомобилей для охраны организаций;</w:t>
      </w:r>
    </w:p>
    <w:p>
      <w:pPr>
        <w:pStyle w:val="0"/>
        <w:spacing w:before="240" w:line-rule="auto"/>
        <w:ind w:firstLine="540"/>
        <w:jc w:val="both"/>
      </w:pPr>
      <w:r>
        <w:rPr>
          <w:sz w:val="24"/>
        </w:rPr>
        <w:t xml:space="preserve">5) V - пожарные депо на 1, 2, 3 и 4 автомобиля для охраны сельских населенных пунктов.</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Здания пожарных депо I и III типов проектируются в случае размещения в них органов управления подразделений пожарной охраны, дислоцированных на территории населенного пункта или организации, и (или) дежурно-диспетчерской службы пожарной охраны.</w:t>
      </w:r>
    </w:p>
    <w:p>
      <w:pPr>
        <w:pStyle w:val="0"/>
        <w:ind w:firstLine="540"/>
        <w:jc w:val="both"/>
      </w:pPr>
      <w:r>
        <w:rPr>
          <w:sz w:val="24"/>
        </w:rPr>
      </w:r>
    </w:p>
    <w:p>
      <w:pPr>
        <w:pStyle w:val="2"/>
        <w:outlineLvl w:val="2"/>
        <w:jc w:val="center"/>
      </w:pPr>
      <w:r>
        <w:rPr>
          <w:sz w:val="24"/>
        </w:rPr>
        <w:t xml:space="preserve">Глава 10. ПОЖАРНО-ТЕХНИЧЕСКАЯ КЛАССИФИКАЦИЯ СТРОИТЕЛЬНЫХ</w:t>
      </w:r>
    </w:p>
    <w:p>
      <w:pPr>
        <w:pStyle w:val="2"/>
        <w:jc w:val="center"/>
      </w:pPr>
      <w:r>
        <w:rPr>
          <w:sz w:val="24"/>
        </w:rPr>
        <w:t xml:space="preserve">КОНСТРУКЦИЙ И ПРОТИВОПОЖАРНЫХ ПРЕГРАД</w:t>
      </w:r>
    </w:p>
    <w:p>
      <w:pPr>
        <w:pStyle w:val="0"/>
        <w:ind w:firstLine="540"/>
        <w:jc w:val="both"/>
      </w:pPr>
      <w:r>
        <w:rPr>
          <w:sz w:val="24"/>
        </w:rPr>
      </w:r>
    </w:p>
    <w:p>
      <w:pPr>
        <w:pStyle w:val="2"/>
        <w:outlineLvl w:val="3"/>
        <w:ind w:firstLine="540"/>
        <w:jc w:val="both"/>
      </w:pPr>
      <w:r>
        <w:rPr>
          <w:sz w:val="24"/>
        </w:rPr>
        <w:t xml:space="preserve">Статья 34. Цель классификации</w:t>
      </w:r>
    </w:p>
    <w:p>
      <w:pPr>
        <w:pStyle w:val="0"/>
        <w:ind w:firstLine="540"/>
        <w:jc w:val="both"/>
      </w:pPr>
      <w:r>
        <w:rPr>
          <w:sz w:val="24"/>
        </w:rPr>
      </w:r>
    </w:p>
    <w:p>
      <w:pPr>
        <w:pStyle w:val="0"/>
        <w:ind w:firstLine="540"/>
        <w:jc w:val="both"/>
      </w:pPr>
      <w:r>
        <w:rPr>
          <w:sz w:val="24"/>
        </w:rPr>
        <w:t xml:space="preserve">1. 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w:t>
      </w:r>
    </w:p>
    <w:p>
      <w:pPr>
        <w:pStyle w:val="0"/>
        <w:spacing w:before="240" w:line-rule="auto"/>
        <w:ind w:firstLine="540"/>
        <w:jc w:val="both"/>
      </w:pPr>
      <w:r>
        <w:rPr>
          <w:sz w:val="24"/>
        </w:rPr>
        <w:t xml:space="preserve">3.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pPr>
        <w:pStyle w:val="0"/>
        <w:ind w:firstLine="540"/>
        <w:jc w:val="both"/>
      </w:pPr>
      <w:r>
        <w:rPr>
          <w:sz w:val="24"/>
        </w:rPr>
      </w:r>
    </w:p>
    <w:p>
      <w:pPr>
        <w:pStyle w:val="2"/>
        <w:outlineLvl w:val="3"/>
        <w:ind w:firstLine="540"/>
        <w:jc w:val="both"/>
      </w:pPr>
      <w:r>
        <w:rPr>
          <w:sz w:val="24"/>
        </w:rPr>
        <w:t xml:space="preserve">Статья 35. Классификация строительных конструкций по огнестойкости</w:t>
      </w:r>
    </w:p>
    <w:p>
      <w:pPr>
        <w:pStyle w:val="0"/>
        <w:ind w:firstLine="540"/>
        <w:jc w:val="both"/>
      </w:pPr>
      <w:r>
        <w:rPr>
          <w:sz w:val="24"/>
        </w:rPr>
      </w:r>
    </w:p>
    <w:p>
      <w:pPr>
        <w:pStyle w:val="0"/>
        <w:ind w:firstLine="540"/>
        <w:jc w:val="both"/>
      </w:pPr>
      <w:r>
        <w:rPr>
          <w:sz w:val="24"/>
        </w:rPr>
        <w:t xml:space="preserve">1. 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со следующими пределами огнестойкости: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 ненормируемый;</w:t>
      </w:r>
    </w:p>
    <w:p>
      <w:pPr>
        <w:pStyle w:val="0"/>
        <w:spacing w:before="240" w:line-rule="auto"/>
        <w:ind w:firstLine="540"/>
        <w:jc w:val="both"/>
      </w:pPr>
      <w:r>
        <w:rPr>
          <w:sz w:val="24"/>
        </w:rPr>
        <w:t xml:space="preserve">2) не менее 15 минут;</w:t>
      </w:r>
    </w:p>
    <w:p>
      <w:pPr>
        <w:pStyle w:val="0"/>
        <w:spacing w:before="240" w:line-rule="auto"/>
        <w:ind w:firstLine="540"/>
        <w:jc w:val="both"/>
      </w:pPr>
      <w:r>
        <w:rPr>
          <w:sz w:val="24"/>
        </w:rPr>
        <w:t xml:space="preserve">3) не менее 30 минут;</w:t>
      </w:r>
    </w:p>
    <w:p>
      <w:pPr>
        <w:pStyle w:val="0"/>
        <w:spacing w:before="240" w:line-rule="auto"/>
        <w:ind w:firstLine="540"/>
        <w:jc w:val="both"/>
      </w:pPr>
      <w:r>
        <w:rPr>
          <w:sz w:val="24"/>
        </w:rPr>
        <w:t xml:space="preserve">4) не менее 45 минут;</w:t>
      </w:r>
    </w:p>
    <w:p>
      <w:pPr>
        <w:pStyle w:val="0"/>
        <w:spacing w:before="240" w:line-rule="auto"/>
        <w:ind w:firstLine="540"/>
        <w:jc w:val="both"/>
      </w:pPr>
      <w:r>
        <w:rPr>
          <w:sz w:val="24"/>
        </w:rPr>
        <w:t xml:space="preserve">5) не менее 60 минут;</w:t>
      </w:r>
    </w:p>
    <w:p>
      <w:pPr>
        <w:pStyle w:val="0"/>
        <w:spacing w:before="240" w:line-rule="auto"/>
        <w:ind w:firstLine="540"/>
        <w:jc w:val="both"/>
      </w:pPr>
      <w:r>
        <w:rPr>
          <w:sz w:val="24"/>
        </w:rPr>
        <w:t xml:space="preserve">6) не менее 90 минут;</w:t>
      </w:r>
    </w:p>
    <w:p>
      <w:pPr>
        <w:pStyle w:val="0"/>
        <w:spacing w:before="240" w:line-rule="auto"/>
        <w:ind w:firstLine="540"/>
        <w:jc w:val="both"/>
      </w:pPr>
      <w:r>
        <w:rPr>
          <w:sz w:val="24"/>
        </w:rPr>
        <w:t xml:space="preserve">7) не менее 120 минут;</w:t>
      </w:r>
    </w:p>
    <w:p>
      <w:pPr>
        <w:pStyle w:val="0"/>
        <w:spacing w:before="240" w:line-rule="auto"/>
        <w:ind w:firstLine="540"/>
        <w:jc w:val="both"/>
      </w:pPr>
      <w:r>
        <w:rPr>
          <w:sz w:val="24"/>
        </w:rPr>
        <w:t xml:space="preserve">8) не менее 150 минут;</w:t>
      </w:r>
    </w:p>
    <w:p>
      <w:pPr>
        <w:pStyle w:val="0"/>
        <w:spacing w:before="240" w:line-rule="auto"/>
        <w:ind w:firstLine="540"/>
        <w:jc w:val="both"/>
      </w:pPr>
      <w:r>
        <w:rPr>
          <w:sz w:val="24"/>
        </w:rPr>
        <w:t xml:space="preserve">9) не менее 180 минут;</w:t>
      </w:r>
    </w:p>
    <w:p>
      <w:pPr>
        <w:pStyle w:val="0"/>
        <w:spacing w:before="240" w:line-rule="auto"/>
        <w:ind w:firstLine="540"/>
        <w:jc w:val="both"/>
      </w:pPr>
      <w:r>
        <w:rPr>
          <w:sz w:val="24"/>
        </w:rPr>
        <w:t xml:space="preserve">10) не менее 240 минут;</w:t>
      </w:r>
    </w:p>
    <w:p>
      <w:pPr>
        <w:pStyle w:val="0"/>
        <w:spacing w:before="240" w:line-rule="auto"/>
        <w:ind w:firstLine="540"/>
        <w:jc w:val="both"/>
      </w:pPr>
      <w:r>
        <w:rPr>
          <w:sz w:val="24"/>
        </w:rPr>
        <w:t xml:space="preserve">11) не менее 360 минут.</w:t>
      </w:r>
    </w:p>
    <w:p>
      <w:pPr>
        <w:pStyle w:val="0"/>
        <w:spacing w:before="240" w:line-rule="auto"/>
        <w:ind w:firstLine="540"/>
        <w:jc w:val="both"/>
      </w:pPr>
      <w:r>
        <w:rPr>
          <w:sz w:val="24"/>
        </w:rPr>
        <w:t xml:space="preserve">2. Пределы огнестойкости строительных конструкций определяются в условиях стандартных испытаний. Наступление пределов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следующих признаков предельных состояний:</w:t>
      </w:r>
    </w:p>
    <w:p>
      <w:pPr>
        <w:pStyle w:val="0"/>
        <w:spacing w:before="240" w:line-rule="auto"/>
        <w:ind w:firstLine="540"/>
        <w:jc w:val="both"/>
      </w:pPr>
      <w:r>
        <w:rPr>
          <w:sz w:val="24"/>
        </w:rPr>
        <w:t xml:space="preserve">1) потеря несущей способности (R);</w:t>
      </w:r>
    </w:p>
    <w:p>
      <w:pPr>
        <w:pStyle w:val="0"/>
        <w:spacing w:before="240" w:line-rule="auto"/>
        <w:ind w:firstLine="540"/>
        <w:jc w:val="both"/>
      </w:pPr>
      <w:r>
        <w:rPr>
          <w:sz w:val="24"/>
        </w:rPr>
        <w:t xml:space="preserve">2) потеря целостности (E);</w:t>
      </w:r>
    </w:p>
    <w:p>
      <w:pPr>
        <w:pStyle w:val="0"/>
        <w:spacing w:before="240" w:line-rule="auto"/>
        <w:ind w:firstLine="540"/>
        <w:jc w:val="both"/>
      </w:pPr>
      <w:r>
        <w:rPr>
          <w:sz w:val="24"/>
        </w:rPr>
        <w:t xml:space="preserve">3) потеря теплоизолирующей способности вследствие повышения температуры на необогреваемой поверхности конструкции до предельных значений (I) или достижения предельной величины плотности теплового потока на нормируемом расстоянии от необогреваемой поверхности конструкции (W).</w:t>
      </w:r>
    </w:p>
    <w:p>
      <w:pPr>
        <w:pStyle w:val="0"/>
        <w:spacing w:before="240" w:line-rule="auto"/>
        <w:ind w:firstLine="540"/>
        <w:jc w:val="both"/>
      </w:pPr>
      <w:r>
        <w:rPr>
          <w:sz w:val="24"/>
        </w:rPr>
        <w:t xml:space="preserve">3. Предел огнестойкости для заполнения проемов в противопожарных преградах наступает при потере целостности (E), теплоизолирующей способности (I), достижении предельной величины плотности теплового потока (W) и (или) дымогазонепроницаемости (S).</w:t>
      </w:r>
    </w:p>
    <w:p>
      <w:pPr>
        <w:pStyle w:val="0"/>
        <w:spacing w:before="240" w:line-rule="auto"/>
        <w:ind w:firstLine="540"/>
        <w:jc w:val="both"/>
      </w:pPr>
      <w:r>
        <w:rPr>
          <w:sz w:val="24"/>
        </w:rPr>
        <w:t xml:space="preserve">4. </w:t>
      </w:r>
      <w:r>
        <w:rPr>
          <w:sz w:val="24"/>
        </w:rPr>
        <w:t xml:space="preserve">Методы</w:t>
      </w:r>
      <w:r>
        <w:rPr>
          <w:sz w:val="24"/>
        </w:rPr>
        <w:t xml:space="preserve"> определения пределов огнестойкости строительных конструкций и признаков предельных состояний устанавливаются нормативными документами по пожарной безопасности.</w:t>
      </w:r>
    </w:p>
    <w:p>
      <w:pPr>
        <w:pStyle w:val="0"/>
        <w:spacing w:before="240" w:line-rule="auto"/>
        <w:ind w:firstLine="540"/>
        <w:jc w:val="both"/>
      </w:pPr>
      <w:r>
        <w:rPr>
          <w:sz w:val="24"/>
        </w:rPr>
        <w:t xml:space="preserve">5. Условные обозначения пределов огнестойкости строительных конструкций содержат буквенные обозначения предельного состояния и группы.</w:t>
      </w:r>
    </w:p>
    <w:p>
      <w:pPr>
        <w:pStyle w:val="0"/>
        <w:ind w:firstLine="540"/>
        <w:jc w:val="both"/>
      </w:pPr>
      <w:r>
        <w:rPr>
          <w:sz w:val="24"/>
        </w:rPr>
      </w:r>
    </w:p>
    <w:p>
      <w:pPr>
        <w:pStyle w:val="2"/>
        <w:outlineLvl w:val="3"/>
        <w:ind w:firstLine="540"/>
        <w:jc w:val="both"/>
      </w:pPr>
      <w:r>
        <w:rPr>
          <w:sz w:val="24"/>
        </w:rPr>
        <w:t xml:space="preserve">Статья 36. Классификация строительных конструкций по пожарной опасности</w:t>
      </w:r>
    </w:p>
    <w:p>
      <w:pPr>
        <w:pStyle w:val="0"/>
        <w:ind w:firstLine="540"/>
        <w:jc w:val="both"/>
      </w:pPr>
      <w:r>
        <w:rPr>
          <w:sz w:val="24"/>
        </w:rPr>
      </w:r>
    </w:p>
    <w:p>
      <w:pPr>
        <w:pStyle w:val="0"/>
        <w:ind w:firstLine="540"/>
        <w:jc w:val="both"/>
      </w:pPr>
      <w:r>
        <w:rPr>
          <w:sz w:val="24"/>
        </w:rPr>
        <w:t xml:space="preserve">1. Строительные конструкции по пожарной опасности подразделяются на следующие классы:</w:t>
      </w:r>
    </w:p>
    <w:p>
      <w:pPr>
        <w:pStyle w:val="0"/>
        <w:spacing w:before="240" w:line-rule="auto"/>
        <w:ind w:firstLine="540"/>
        <w:jc w:val="both"/>
      </w:pPr>
      <w:r>
        <w:rPr>
          <w:sz w:val="24"/>
        </w:rPr>
        <w:t xml:space="preserve">1) непожароопасные (K0);</w:t>
      </w:r>
    </w:p>
    <w:p>
      <w:pPr>
        <w:pStyle w:val="0"/>
        <w:spacing w:before="240" w:line-rule="auto"/>
        <w:ind w:firstLine="540"/>
        <w:jc w:val="both"/>
      </w:pPr>
      <w:r>
        <w:rPr>
          <w:sz w:val="24"/>
        </w:rPr>
        <w:t xml:space="preserve">2) малопожароопасные (K1);</w:t>
      </w:r>
    </w:p>
    <w:p>
      <w:pPr>
        <w:pStyle w:val="0"/>
        <w:spacing w:before="240" w:line-rule="auto"/>
        <w:ind w:firstLine="540"/>
        <w:jc w:val="both"/>
      </w:pPr>
      <w:r>
        <w:rPr>
          <w:sz w:val="24"/>
        </w:rPr>
        <w:t xml:space="preserve">3) умереннопожароопасные (K2);</w:t>
      </w:r>
    </w:p>
    <w:p>
      <w:pPr>
        <w:pStyle w:val="0"/>
        <w:spacing w:before="240" w:line-rule="auto"/>
        <w:ind w:firstLine="540"/>
        <w:jc w:val="both"/>
      </w:pPr>
      <w:r>
        <w:rPr>
          <w:sz w:val="24"/>
        </w:rPr>
        <w:t xml:space="preserve">4) пожароопасные (K3).</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29.07.2017 N 244-ФЗ.</w:t>
      </w:r>
    </w:p>
    <w:p>
      <w:pPr>
        <w:pStyle w:val="0"/>
        <w:spacing w:before="240" w:line-rule="auto"/>
        <w:ind w:firstLine="540"/>
        <w:jc w:val="both"/>
      </w:pPr>
      <w:r>
        <w:rPr>
          <w:sz w:val="24"/>
        </w:rPr>
        <w:t xml:space="preserve">3. Численные значения критериев отнесения строительных конструкций к определенному классу пожарной опасности определяются в соответствии с методами, установленными нормативными документами по пожарной безопасности.</w:t>
      </w:r>
    </w:p>
    <w:p>
      <w:pPr>
        <w:pStyle w:val="0"/>
        <w:ind w:firstLine="540"/>
        <w:jc w:val="both"/>
      </w:pPr>
      <w:r>
        <w:rPr>
          <w:sz w:val="24"/>
        </w:rPr>
      </w:r>
    </w:p>
    <w:bookmarkStart w:id="630" w:name="P630"/>
    <w:bookmarkEnd w:id="630"/>
    <w:p>
      <w:pPr>
        <w:pStyle w:val="2"/>
        <w:outlineLvl w:val="3"/>
        <w:ind w:firstLine="540"/>
        <w:jc w:val="both"/>
      </w:pPr>
      <w:r>
        <w:rPr>
          <w:sz w:val="24"/>
        </w:rPr>
        <w:t xml:space="preserve">Статья 37. Классификация противопожарных преград</w:t>
      </w:r>
    </w:p>
    <w:p>
      <w:pPr>
        <w:pStyle w:val="0"/>
        <w:ind w:firstLine="540"/>
        <w:jc w:val="both"/>
      </w:pPr>
      <w:r>
        <w:rPr>
          <w:sz w:val="24"/>
        </w:rPr>
      </w:r>
    </w:p>
    <w:p>
      <w:pPr>
        <w:pStyle w:val="0"/>
        <w:ind w:firstLine="540"/>
        <w:jc w:val="both"/>
      </w:pPr>
      <w:r>
        <w:rPr>
          <w:sz w:val="24"/>
        </w:rPr>
        <w:t xml:space="preserve">1. Противопожарные преграды в зависимости от способа предотвращения распространения опасных факторов пожара подразделяются на следующие типы:</w:t>
      </w:r>
    </w:p>
    <w:p>
      <w:pPr>
        <w:pStyle w:val="0"/>
        <w:spacing w:before="240" w:line-rule="auto"/>
        <w:ind w:firstLine="540"/>
        <w:jc w:val="both"/>
      </w:pPr>
      <w:r>
        <w:rPr>
          <w:sz w:val="24"/>
        </w:rPr>
        <w:t xml:space="preserve">1) противопожарные стены;</w:t>
      </w:r>
    </w:p>
    <w:p>
      <w:pPr>
        <w:pStyle w:val="0"/>
        <w:spacing w:before="240" w:line-rule="auto"/>
        <w:ind w:firstLine="540"/>
        <w:jc w:val="both"/>
      </w:pPr>
      <w:r>
        <w:rPr>
          <w:sz w:val="24"/>
        </w:rPr>
        <w:t xml:space="preserve">2) противопожарные перегородки;</w:t>
      </w:r>
    </w:p>
    <w:p>
      <w:pPr>
        <w:pStyle w:val="0"/>
        <w:spacing w:before="240" w:line-rule="auto"/>
        <w:ind w:firstLine="540"/>
        <w:jc w:val="both"/>
      </w:pPr>
      <w:r>
        <w:rPr>
          <w:sz w:val="24"/>
        </w:rPr>
        <w:t xml:space="preserve">3) противопожарные перекрытия;</w:t>
      </w:r>
    </w:p>
    <w:p>
      <w:pPr>
        <w:pStyle w:val="0"/>
        <w:spacing w:before="240" w:line-rule="auto"/>
        <w:ind w:firstLine="540"/>
        <w:jc w:val="both"/>
      </w:pPr>
      <w:r>
        <w:rPr>
          <w:sz w:val="24"/>
        </w:rPr>
        <w:t xml:space="preserve">4) противопожарные разрывы;</w:t>
      </w:r>
    </w:p>
    <w:p>
      <w:pPr>
        <w:pStyle w:val="0"/>
        <w:spacing w:before="240" w:line-rule="auto"/>
        <w:ind w:firstLine="540"/>
        <w:jc w:val="both"/>
      </w:pPr>
      <w:r>
        <w:rPr>
          <w:sz w:val="24"/>
        </w:rPr>
        <w:t xml:space="preserve">5) противопожарные занавесы, шторы и экраны (экранные стены);</w:t>
      </w:r>
    </w:p>
    <w:p>
      <w:pPr>
        <w:pStyle w:val="0"/>
        <w:jc w:val="both"/>
      </w:pPr>
      <w:r>
        <w:rPr>
          <w:sz w:val="24"/>
        </w:rPr>
        <w:t xml:space="preserve">(в ред. Федерального </w:t>
      </w:r>
      <w:r>
        <w:rPr>
          <w:sz w:val="24"/>
        </w:rPr>
        <w:t xml:space="preserve">закона</w:t>
      </w:r>
      <w:r>
        <w:rPr>
          <w:sz w:val="24"/>
        </w:rPr>
        <w:t xml:space="preserve"> от 29.07.2017 N 244-ФЗ)</w:t>
      </w:r>
    </w:p>
    <w:p>
      <w:pPr>
        <w:pStyle w:val="0"/>
        <w:spacing w:before="240" w:line-rule="auto"/>
        <w:ind w:firstLine="540"/>
        <w:jc w:val="both"/>
      </w:pPr>
      <w:r>
        <w:rPr>
          <w:sz w:val="24"/>
        </w:rPr>
        <w:t xml:space="preserve">6) противопожарные водяные завесы;</w:t>
      </w:r>
    </w:p>
    <w:p>
      <w:pPr>
        <w:pStyle w:val="0"/>
        <w:spacing w:before="240" w:line-rule="auto"/>
        <w:ind w:firstLine="540"/>
        <w:jc w:val="both"/>
      </w:pPr>
      <w:r>
        <w:rPr>
          <w:sz w:val="24"/>
        </w:rPr>
        <w:t xml:space="preserve">7) противопожарные минерализованные полосы;</w:t>
      </w:r>
    </w:p>
    <w:p>
      <w:pPr>
        <w:pStyle w:val="0"/>
        <w:spacing w:before="240" w:line-rule="auto"/>
        <w:ind w:firstLine="540"/>
        <w:jc w:val="both"/>
      </w:pPr>
      <w:r>
        <w:rPr>
          <w:sz w:val="24"/>
        </w:rPr>
        <w:t xml:space="preserve">8) зона, свободная от пожарной нагрузки.</w:t>
      </w:r>
    </w:p>
    <w:p>
      <w:pPr>
        <w:pStyle w:val="0"/>
        <w:jc w:val="both"/>
      </w:pPr>
      <w:r>
        <w:rPr>
          <w:sz w:val="24"/>
        </w:rPr>
        <w:t xml:space="preserve">(п. 8 введен Федеральным </w:t>
      </w:r>
      <w:r>
        <w:rPr>
          <w:sz w:val="24"/>
        </w:rPr>
        <w:t xml:space="preserve">законом</w:t>
      </w:r>
      <w:r>
        <w:rPr>
          <w:sz w:val="24"/>
        </w:rPr>
        <w:t xml:space="preserve"> от 14.07.2022 N 276-ФЗ)</w:t>
      </w:r>
    </w:p>
    <w:p>
      <w:pPr>
        <w:pStyle w:val="0"/>
        <w:spacing w:before="240" w:line-rule="auto"/>
        <w:ind w:firstLine="540"/>
        <w:jc w:val="both"/>
      </w:pPr>
      <w:r>
        <w:rPr>
          <w:sz w:val="24"/>
        </w:rPr>
        <w:t xml:space="preserve">2. Противопожарные стены, перегородки и перекрытия, заполнения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а также тамбур-шлюзы, предусмотренные в проемах противопожарных преград в зависимости от типов элементов тамбур-шлюзов, подразделяются на следующие типы:</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932"/>
        <w:gridCol w:w="2381"/>
      </w:tblGrid>
      <w:tr>
        <w:tc>
          <w:tcPr>
            <w:tcW w:w="4932" w:type="dxa"/>
            <w:tcBorders>
              <w:top w:val="nil"/>
              <w:left w:val="nil"/>
              <w:bottom w:val="nil"/>
              <w:right w:val="nil"/>
            </w:tcBorders>
          </w:tcPr>
          <w:p>
            <w:pPr>
              <w:pStyle w:val="0"/>
            </w:pPr>
            <w:r>
              <w:rPr>
                <w:sz w:val="24"/>
              </w:rPr>
              <w:t xml:space="preserve">1) стены</w:t>
            </w:r>
          </w:p>
        </w:tc>
        <w:tc>
          <w:tcPr>
            <w:tcW w:w="2381" w:type="dxa"/>
            <w:tcBorders>
              <w:top w:val="nil"/>
              <w:left w:val="nil"/>
              <w:bottom w:val="nil"/>
              <w:right w:val="nil"/>
            </w:tcBorders>
          </w:tcPr>
          <w:p>
            <w:pPr>
              <w:pStyle w:val="0"/>
            </w:pPr>
            <w:r>
              <w:rPr>
                <w:sz w:val="24"/>
              </w:rPr>
              <w:t xml:space="preserve">1-й или 2-й тип;</w:t>
            </w:r>
          </w:p>
        </w:tc>
      </w:tr>
      <w:tr>
        <w:tc>
          <w:tcPr>
            <w:tcW w:w="4932" w:type="dxa"/>
            <w:tcBorders>
              <w:top w:val="nil"/>
              <w:left w:val="nil"/>
              <w:bottom w:val="nil"/>
              <w:right w:val="nil"/>
            </w:tcBorders>
          </w:tcPr>
          <w:p>
            <w:pPr>
              <w:pStyle w:val="0"/>
            </w:pPr>
            <w:r>
              <w:rPr>
                <w:sz w:val="24"/>
              </w:rPr>
              <w:t xml:space="preserve">2) перегородки</w:t>
            </w:r>
          </w:p>
        </w:tc>
        <w:tc>
          <w:tcPr>
            <w:tcW w:w="2381" w:type="dxa"/>
            <w:tcBorders>
              <w:top w:val="nil"/>
              <w:left w:val="nil"/>
              <w:bottom w:val="nil"/>
              <w:right w:val="nil"/>
            </w:tcBorders>
          </w:tcPr>
          <w:p>
            <w:pPr>
              <w:pStyle w:val="0"/>
            </w:pPr>
            <w:r>
              <w:rPr>
                <w:sz w:val="24"/>
              </w:rPr>
              <w:t xml:space="preserve">1-й или 2-й тип;</w:t>
            </w:r>
          </w:p>
        </w:tc>
      </w:tr>
      <w:tr>
        <w:tc>
          <w:tcPr>
            <w:tcW w:w="4932" w:type="dxa"/>
            <w:tcBorders>
              <w:top w:val="nil"/>
              <w:left w:val="nil"/>
              <w:bottom w:val="nil"/>
              <w:right w:val="nil"/>
            </w:tcBorders>
          </w:tcPr>
          <w:p>
            <w:pPr>
              <w:pStyle w:val="0"/>
            </w:pPr>
            <w:r>
              <w:rPr>
                <w:sz w:val="24"/>
              </w:rPr>
              <w:t xml:space="preserve">3) перекрытия</w:t>
            </w:r>
          </w:p>
        </w:tc>
        <w:tc>
          <w:tcPr>
            <w:tcW w:w="2381" w:type="dxa"/>
            <w:tcBorders>
              <w:top w:val="nil"/>
              <w:left w:val="nil"/>
              <w:bottom w:val="nil"/>
              <w:right w:val="nil"/>
            </w:tcBorders>
          </w:tcPr>
          <w:p>
            <w:pPr>
              <w:pStyle w:val="0"/>
            </w:pPr>
            <w:r>
              <w:rPr>
                <w:sz w:val="24"/>
              </w:rPr>
              <w:t xml:space="preserve">1, 2, 3 или 4-й тип;</w:t>
            </w:r>
          </w:p>
        </w:tc>
      </w:tr>
      <w:tr>
        <w:tc>
          <w:tcPr>
            <w:tcW w:w="4932" w:type="dxa"/>
            <w:tcBorders>
              <w:top w:val="nil"/>
              <w:left w:val="nil"/>
              <w:bottom w:val="nil"/>
              <w:right w:val="nil"/>
            </w:tcBorders>
          </w:tcPr>
          <w:p>
            <w:pPr>
              <w:pStyle w:val="0"/>
            </w:pPr>
            <w:r>
              <w:rPr>
                <w:sz w:val="24"/>
              </w:rPr>
              <w:t xml:space="preserve">4) двери, ворота, люки, клапаны, экраны, шторы</w:t>
            </w:r>
          </w:p>
        </w:tc>
        <w:tc>
          <w:tcPr>
            <w:tcW w:w="2381" w:type="dxa"/>
            <w:tcBorders>
              <w:top w:val="nil"/>
              <w:left w:val="nil"/>
              <w:bottom w:val="nil"/>
              <w:right w:val="nil"/>
            </w:tcBorders>
          </w:tcPr>
          <w:p>
            <w:pPr>
              <w:pStyle w:val="0"/>
            </w:pPr>
            <w:r>
              <w:rPr>
                <w:sz w:val="24"/>
              </w:rPr>
              <w:t xml:space="preserve">1, 2 или 3-й тип;</w:t>
            </w:r>
          </w:p>
        </w:tc>
      </w:tr>
      <w:tr>
        <w:tc>
          <w:tcPr>
            <w:tcW w:w="4932" w:type="dxa"/>
            <w:tcBorders>
              <w:top w:val="nil"/>
              <w:left w:val="nil"/>
              <w:bottom w:val="nil"/>
              <w:right w:val="nil"/>
            </w:tcBorders>
          </w:tcPr>
          <w:p>
            <w:pPr>
              <w:pStyle w:val="0"/>
            </w:pPr>
            <w:r>
              <w:rPr>
                <w:sz w:val="24"/>
              </w:rPr>
              <w:t xml:space="preserve">5) окна</w:t>
            </w:r>
          </w:p>
        </w:tc>
        <w:tc>
          <w:tcPr>
            <w:tcW w:w="2381" w:type="dxa"/>
            <w:tcBorders>
              <w:top w:val="nil"/>
              <w:left w:val="nil"/>
              <w:bottom w:val="nil"/>
              <w:right w:val="nil"/>
            </w:tcBorders>
          </w:tcPr>
          <w:p>
            <w:pPr>
              <w:pStyle w:val="0"/>
            </w:pPr>
            <w:r>
              <w:rPr>
                <w:sz w:val="24"/>
              </w:rPr>
              <w:t xml:space="preserve">1, 2 или 3-й тип;</w:t>
            </w:r>
          </w:p>
        </w:tc>
      </w:tr>
      <w:tr>
        <w:tc>
          <w:tcPr>
            <w:tcW w:w="4932" w:type="dxa"/>
            <w:tcBorders>
              <w:top w:val="nil"/>
              <w:left w:val="nil"/>
              <w:bottom w:val="nil"/>
              <w:right w:val="nil"/>
            </w:tcBorders>
          </w:tcPr>
          <w:p>
            <w:pPr>
              <w:pStyle w:val="0"/>
            </w:pPr>
            <w:r>
              <w:rPr>
                <w:sz w:val="24"/>
              </w:rPr>
              <w:t xml:space="preserve">6) занавесы</w:t>
            </w:r>
          </w:p>
        </w:tc>
        <w:tc>
          <w:tcPr>
            <w:tcW w:w="2381" w:type="dxa"/>
            <w:tcBorders>
              <w:top w:val="nil"/>
              <w:left w:val="nil"/>
              <w:bottom w:val="nil"/>
              <w:right w:val="nil"/>
            </w:tcBorders>
          </w:tcPr>
          <w:p>
            <w:pPr>
              <w:pStyle w:val="0"/>
            </w:pPr>
            <w:r>
              <w:rPr>
                <w:sz w:val="24"/>
              </w:rPr>
              <w:t xml:space="preserve">1-й тип;</w:t>
            </w:r>
          </w:p>
        </w:tc>
      </w:tr>
      <w:tr>
        <w:tc>
          <w:tcPr>
            <w:tcW w:w="4932" w:type="dxa"/>
            <w:tcBorders>
              <w:top w:val="nil"/>
              <w:left w:val="nil"/>
              <w:bottom w:val="nil"/>
              <w:right w:val="nil"/>
            </w:tcBorders>
          </w:tcPr>
          <w:p>
            <w:pPr>
              <w:pStyle w:val="0"/>
            </w:pPr>
            <w:r>
              <w:rPr>
                <w:sz w:val="24"/>
              </w:rPr>
              <w:t xml:space="preserve">7) тамбур-шлюзы</w:t>
            </w:r>
          </w:p>
        </w:tc>
        <w:tc>
          <w:tcPr>
            <w:tcW w:w="2381" w:type="dxa"/>
            <w:tcBorders>
              <w:top w:val="nil"/>
              <w:left w:val="nil"/>
              <w:bottom w:val="nil"/>
              <w:right w:val="nil"/>
            </w:tcBorders>
          </w:tcPr>
          <w:p>
            <w:pPr>
              <w:pStyle w:val="0"/>
            </w:pPr>
            <w:r>
              <w:rPr>
                <w:sz w:val="24"/>
              </w:rPr>
              <w:t xml:space="preserve">1-й или 2-й тип;</w:t>
            </w:r>
          </w:p>
        </w:tc>
      </w:tr>
      <w:tr>
        <w:tc>
          <w:tcPr>
            <w:tcW w:w="4932" w:type="dxa"/>
            <w:tcBorders>
              <w:top w:val="nil"/>
              <w:left w:val="nil"/>
              <w:bottom w:val="nil"/>
              <w:right w:val="nil"/>
            </w:tcBorders>
          </w:tcPr>
          <w:p>
            <w:pPr>
              <w:pStyle w:val="0"/>
            </w:pPr>
            <w:r>
              <w:rPr>
                <w:sz w:val="24"/>
              </w:rPr>
              <w:t xml:space="preserve">8) противопожарные водяные завесы.</w:t>
            </w:r>
          </w:p>
        </w:tc>
        <w:tc>
          <w:tcPr>
            <w:tcW w:w="2381" w:type="dxa"/>
            <w:tcBorders>
              <w:top w:val="nil"/>
              <w:left w:val="nil"/>
              <w:bottom w:val="nil"/>
              <w:right w:val="nil"/>
            </w:tcBorders>
          </w:tcPr>
          <w:p>
            <w:pPr>
              <w:pStyle w:val="0"/>
            </w:pPr>
            <w:r>
              <w:rPr>
                <w:sz w:val="24"/>
              </w:rPr>
            </w:r>
          </w:p>
        </w:tc>
      </w:tr>
      <w:tr>
        <w:tc>
          <w:tcPr>
            <w:gridSpan w:val="2"/>
            <w:tcW w:w="7313" w:type="dxa"/>
            <w:tcBorders>
              <w:top w:val="nil"/>
              <w:left w:val="nil"/>
              <w:bottom w:val="nil"/>
              <w:right w:val="nil"/>
            </w:tcBorders>
          </w:tcPr>
          <w:p>
            <w:pPr>
              <w:pStyle w:val="0"/>
              <w:jc w:val="both"/>
            </w:pPr>
            <w:r>
              <w:rPr>
                <w:sz w:val="24"/>
              </w:rPr>
              <w:t xml:space="preserve">(п. 8 введен Федеральным </w:t>
            </w:r>
            <w:r>
              <w:rPr>
                <w:sz w:val="24"/>
              </w:rPr>
              <w:t xml:space="preserve">законом</w:t>
            </w:r>
            <w:r>
              <w:rPr>
                <w:sz w:val="24"/>
              </w:rPr>
              <w:t xml:space="preserve"> от 14.07.2022 N 276-ФЗ)</w:t>
            </w:r>
          </w:p>
        </w:tc>
      </w:tr>
    </w:tbl>
    <w:p>
      <w:pPr>
        <w:pStyle w:val="0"/>
        <w:ind w:firstLine="540"/>
        <w:jc w:val="both"/>
      </w:pPr>
      <w:r>
        <w:rPr>
          <w:sz w:val="24"/>
        </w:rPr>
      </w:r>
    </w:p>
    <w:p>
      <w:pPr>
        <w:pStyle w:val="0"/>
        <w:ind w:firstLine="540"/>
        <w:jc w:val="both"/>
      </w:pPr>
      <w:r>
        <w:rPr>
          <w:sz w:val="24"/>
        </w:rPr>
        <w:t xml:space="preserve">3. Отнесение противопожарных преград к тому или иному типу в зависимости от пределов огнестойкости элементов противопожарных преград и типов заполнения проемов в них осуществляется в соответствии со </w:t>
      </w:r>
      <w:hyperlink w:history="0" w:anchor="P1222" w:tooltip="Статья 88. Требования к ограничению распространения пожара в зданиях, сооружениях, пожарных отсеках">
        <w:r>
          <w:rPr>
            <w:sz w:val="24"/>
            <w:color w:val="0000ff"/>
          </w:rPr>
          <w:t xml:space="preserve">статьей 88</w:t>
        </w:r>
      </w:hyperlink>
      <w:r>
        <w:rPr>
          <w:sz w:val="24"/>
        </w:rPr>
        <w:t xml:space="preserve"> настоящего Федерального закона.</w:t>
      </w:r>
    </w:p>
    <w:p>
      <w:pPr>
        <w:pStyle w:val="0"/>
        <w:ind w:firstLine="540"/>
        <w:jc w:val="both"/>
      </w:pPr>
      <w:r>
        <w:rPr>
          <w:sz w:val="24"/>
        </w:rPr>
      </w:r>
    </w:p>
    <w:p>
      <w:pPr>
        <w:pStyle w:val="2"/>
        <w:outlineLvl w:val="2"/>
        <w:jc w:val="center"/>
      </w:pPr>
      <w:r>
        <w:rPr>
          <w:sz w:val="24"/>
        </w:rPr>
        <w:t xml:space="preserve">Глава 11. ПОЖАРНО-ТЕХНИЧЕСКАЯ КЛАССИФИКАЦИЯ ЛЕСТНИЦ</w:t>
      </w:r>
    </w:p>
    <w:p>
      <w:pPr>
        <w:pStyle w:val="2"/>
        <w:jc w:val="center"/>
      </w:pPr>
      <w:r>
        <w:rPr>
          <w:sz w:val="24"/>
        </w:rPr>
        <w:t xml:space="preserve">И ЛЕСТНИЧНЫХ КЛЕТОК</w:t>
      </w:r>
    </w:p>
    <w:p>
      <w:pPr>
        <w:pStyle w:val="0"/>
        <w:ind w:firstLine="540"/>
        <w:jc w:val="both"/>
      </w:pPr>
      <w:r>
        <w:rPr>
          <w:sz w:val="24"/>
        </w:rPr>
      </w:r>
    </w:p>
    <w:p>
      <w:pPr>
        <w:pStyle w:val="2"/>
        <w:outlineLvl w:val="3"/>
        <w:ind w:firstLine="540"/>
        <w:jc w:val="both"/>
      </w:pPr>
      <w:r>
        <w:rPr>
          <w:sz w:val="24"/>
        </w:rPr>
        <w:t xml:space="preserve">Статья 38. Цель классификации</w:t>
      </w:r>
    </w:p>
    <w:p>
      <w:pPr>
        <w:pStyle w:val="0"/>
        <w:ind w:firstLine="540"/>
        <w:jc w:val="both"/>
      </w:pPr>
      <w:r>
        <w:rPr>
          <w:sz w:val="24"/>
        </w:rPr>
      </w:r>
    </w:p>
    <w:p>
      <w:pPr>
        <w:pStyle w:val="0"/>
        <w:ind w:firstLine="540"/>
        <w:jc w:val="both"/>
      </w:pPr>
      <w:r>
        <w:rPr>
          <w:sz w:val="24"/>
        </w:rPr>
        <w:t xml:space="preserve">Лестницы и лестничные клетки классифицируются в целях определения требований к их объемно-планировочному и конструктивному решению, а также для установления требований к их применению на путях эвакуации людей.</w:t>
      </w:r>
    </w:p>
    <w:p>
      <w:pPr>
        <w:pStyle w:val="0"/>
        <w:ind w:firstLine="540"/>
        <w:jc w:val="both"/>
      </w:pPr>
      <w:r>
        <w:rPr>
          <w:sz w:val="24"/>
        </w:rPr>
      </w:r>
    </w:p>
    <w:p>
      <w:pPr>
        <w:pStyle w:val="2"/>
        <w:outlineLvl w:val="3"/>
        <w:ind w:firstLine="540"/>
        <w:jc w:val="both"/>
      </w:pPr>
      <w:r>
        <w:rPr>
          <w:sz w:val="24"/>
        </w:rPr>
        <w:t xml:space="preserve">Статья 39. Классификация лестниц</w:t>
      </w:r>
    </w:p>
    <w:p>
      <w:pPr>
        <w:pStyle w:val="0"/>
        <w:ind w:firstLine="540"/>
        <w:jc w:val="both"/>
      </w:pPr>
      <w:r>
        <w:rPr>
          <w:sz w:val="24"/>
        </w:rPr>
      </w:r>
    </w:p>
    <w:p>
      <w:pPr>
        <w:pStyle w:val="0"/>
        <w:ind w:firstLine="540"/>
        <w:jc w:val="both"/>
      </w:pPr>
      <w:r>
        <w:rPr>
          <w:sz w:val="24"/>
        </w:rPr>
        <w:t xml:space="preserve">1. Лестницы, предназначенные для эвакуации людей из зданий и сооружений при пожаре, подразделяются на следующие типы:</w:t>
      </w:r>
    </w:p>
    <w:p>
      <w:pPr>
        <w:pStyle w:val="0"/>
        <w:spacing w:before="240" w:line-rule="auto"/>
        <w:ind w:firstLine="540"/>
        <w:jc w:val="both"/>
      </w:pPr>
      <w:r>
        <w:rPr>
          <w:sz w:val="24"/>
        </w:rPr>
        <w:t xml:space="preserve">1) 1-й тип - внутренние, размещаемые на лестничных клетках;</w:t>
      </w:r>
    </w:p>
    <w:p>
      <w:pPr>
        <w:pStyle w:val="0"/>
        <w:spacing w:before="240" w:line-rule="auto"/>
        <w:ind w:firstLine="540"/>
        <w:jc w:val="both"/>
      </w:pPr>
      <w:r>
        <w:rPr>
          <w:sz w:val="24"/>
        </w:rPr>
        <w:t xml:space="preserve">2) 2-й тип - внутренние открытые;</w:t>
      </w:r>
    </w:p>
    <w:p>
      <w:pPr>
        <w:pStyle w:val="0"/>
        <w:spacing w:before="240" w:line-rule="auto"/>
        <w:ind w:firstLine="540"/>
        <w:jc w:val="both"/>
      </w:pPr>
      <w:r>
        <w:rPr>
          <w:sz w:val="24"/>
        </w:rPr>
        <w:t xml:space="preserve">3) 3-й тип - наружные открытые.</w:t>
      </w:r>
    </w:p>
    <w:p>
      <w:pPr>
        <w:pStyle w:val="0"/>
        <w:jc w:val="both"/>
      </w:pPr>
      <w:r>
        <w:rPr>
          <w:sz w:val="24"/>
        </w:rPr>
        <w:t xml:space="preserve">(часть 1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Пожарные лестницы, предназначенные для обеспечения тушения пожара и проведения аварийно-спасательных работ, подразделяются на следующие типы:</w:t>
      </w:r>
    </w:p>
    <w:p>
      <w:pPr>
        <w:pStyle w:val="0"/>
        <w:spacing w:before="240" w:line-rule="auto"/>
        <w:ind w:firstLine="540"/>
        <w:jc w:val="both"/>
      </w:pPr>
      <w:r>
        <w:rPr>
          <w:sz w:val="24"/>
        </w:rPr>
        <w:t xml:space="preserve">1) П1 - вертикальные лестницы;</w:t>
      </w:r>
    </w:p>
    <w:p>
      <w:pPr>
        <w:pStyle w:val="0"/>
        <w:spacing w:before="240" w:line-rule="auto"/>
        <w:ind w:firstLine="540"/>
        <w:jc w:val="both"/>
      </w:pPr>
      <w:r>
        <w:rPr>
          <w:sz w:val="24"/>
        </w:rPr>
        <w:t xml:space="preserve">2) П2 - маршевые лестницы с уклоном не более 6:1.</w:t>
      </w:r>
    </w:p>
    <w:p>
      <w:pPr>
        <w:pStyle w:val="0"/>
        <w:ind w:firstLine="540"/>
        <w:jc w:val="both"/>
      </w:pPr>
      <w:r>
        <w:rPr>
          <w:sz w:val="24"/>
        </w:rPr>
      </w:r>
    </w:p>
    <w:p>
      <w:pPr>
        <w:pStyle w:val="2"/>
        <w:outlineLvl w:val="3"/>
        <w:ind w:firstLine="540"/>
        <w:jc w:val="both"/>
      </w:pPr>
      <w:r>
        <w:rPr>
          <w:sz w:val="24"/>
        </w:rPr>
        <w:t xml:space="preserve">Статья 40. Классификация лестничных клеток</w:t>
      </w:r>
    </w:p>
    <w:p>
      <w:pPr>
        <w:pStyle w:val="0"/>
        <w:ind w:firstLine="540"/>
        <w:jc w:val="both"/>
      </w:pPr>
      <w:r>
        <w:rPr>
          <w:sz w:val="24"/>
        </w:rPr>
      </w:r>
    </w:p>
    <w:p>
      <w:pPr>
        <w:pStyle w:val="0"/>
        <w:ind w:firstLine="540"/>
        <w:jc w:val="both"/>
      </w:pPr>
      <w:r>
        <w:rPr>
          <w:sz w:val="24"/>
        </w:rPr>
        <w:t xml:space="preserve">1. Эвакуационные лестничные клетки в зависимости от степени их защиты от задымления при пожаре подразделяются на следующие типы:</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 обычные лестничные клетки;</w:t>
      </w:r>
    </w:p>
    <w:p>
      <w:pPr>
        <w:pStyle w:val="0"/>
        <w:spacing w:before="240" w:line-rule="auto"/>
        <w:ind w:firstLine="540"/>
        <w:jc w:val="both"/>
      </w:pPr>
      <w:r>
        <w:rPr>
          <w:sz w:val="24"/>
        </w:rPr>
        <w:t xml:space="preserve">2) незадымляемые лестничные клетки.</w:t>
      </w:r>
    </w:p>
    <w:p>
      <w:pPr>
        <w:pStyle w:val="0"/>
        <w:spacing w:before="240" w:line-rule="auto"/>
        <w:ind w:firstLine="540"/>
        <w:jc w:val="both"/>
      </w:pPr>
      <w:r>
        <w:rPr>
          <w:sz w:val="24"/>
        </w:rPr>
        <w:t xml:space="preserve">2. Обычные лестничные клетки подразделяются на следующие типы:</w:t>
      </w:r>
    </w:p>
    <w:p>
      <w:pPr>
        <w:pStyle w:val="0"/>
        <w:spacing w:before="240" w:line-rule="auto"/>
        <w:ind w:firstLine="540"/>
        <w:jc w:val="both"/>
      </w:pPr>
      <w:r>
        <w:rPr>
          <w:sz w:val="24"/>
        </w:rPr>
        <w:t xml:space="preserve">1) Л1 - с естественным освещением через остекленные или открытые проемы в наружных стенах на каждом этаже либо без естественного освещения в случае, если они предназначены для эвакуации только из помещений подвального этажа;</w:t>
      </w:r>
    </w:p>
    <w:p>
      <w:pPr>
        <w:pStyle w:val="0"/>
        <w:spacing w:before="240" w:line-rule="auto"/>
        <w:ind w:firstLine="540"/>
        <w:jc w:val="both"/>
      </w:pPr>
      <w:r>
        <w:rPr>
          <w:sz w:val="24"/>
        </w:rPr>
        <w:t xml:space="preserve">2) Л2 - с естественным освещением через остекленные или открытые проемы в покрытии.</w:t>
      </w:r>
    </w:p>
    <w:p>
      <w:pPr>
        <w:pStyle w:val="0"/>
        <w:jc w:val="both"/>
      </w:pPr>
      <w:r>
        <w:rPr>
          <w:sz w:val="24"/>
        </w:rPr>
        <w:t xml:space="preserve">(часть 2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 Незадымляемые лестничные клетки в зависимости от способа защиты от задымления при пожаре подразделяются на следующие типы:</w:t>
      </w:r>
    </w:p>
    <w:p>
      <w:pPr>
        <w:pStyle w:val="0"/>
        <w:spacing w:before="240" w:line-rule="auto"/>
        <w:ind w:firstLine="540"/>
        <w:jc w:val="both"/>
      </w:pPr>
      <w:r>
        <w:rPr>
          <w:sz w:val="24"/>
        </w:rPr>
        <w:t xml:space="preserve">1) Н1 - лестничные клетки с входом на лестничную клетку с этажа через незадымляемую наружную воздушную зону по открытым переходам;</w:t>
      </w:r>
    </w:p>
    <w:p>
      <w:pPr>
        <w:pStyle w:val="0"/>
        <w:spacing w:before="240" w:line-rule="auto"/>
        <w:ind w:firstLine="540"/>
        <w:jc w:val="both"/>
      </w:pPr>
      <w:r>
        <w:rPr>
          <w:sz w:val="24"/>
        </w:rPr>
        <w:t xml:space="preserve">2) Н2 - лестничные клетки с подпором воздуха на лестничную клетку при пожаре;</w:t>
      </w:r>
    </w:p>
    <w:p>
      <w:pPr>
        <w:pStyle w:val="0"/>
        <w:spacing w:before="240" w:line-rule="auto"/>
        <w:ind w:firstLine="540"/>
        <w:jc w:val="both"/>
      </w:pPr>
      <w:r>
        <w:rPr>
          <w:sz w:val="24"/>
        </w:rPr>
        <w:t xml:space="preserve">3) Н3 - лестничные клетки с входом на них на каждом этаже через тамбур-шлюз, в котором постоянно или во время пожара обеспечивается подпор воздуха.</w:t>
      </w:r>
    </w:p>
    <w:p>
      <w:pPr>
        <w:pStyle w:val="0"/>
        <w:ind w:firstLine="540"/>
        <w:jc w:val="both"/>
      </w:pPr>
      <w:r>
        <w:rPr>
          <w:sz w:val="24"/>
        </w:rPr>
      </w:r>
    </w:p>
    <w:p>
      <w:pPr>
        <w:pStyle w:val="2"/>
        <w:outlineLvl w:val="2"/>
        <w:jc w:val="center"/>
      </w:pPr>
      <w:r>
        <w:rPr>
          <w:sz w:val="24"/>
        </w:rPr>
        <w:t xml:space="preserve">Глава 12. КЛАССИФИКАЦИЯ ПОЖАРНОЙ ТЕХНИКИ (СТАТЬИ 41 - 47)</w:t>
      </w:r>
    </w:p>
    <w:p>
      <w:pPr>
        <w:pStyle w:val="0"/>
        <w:jc w:val="center"/>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13. СИСТЕМА ПРЕДОТВРАЩЕНИЯ ПОЖАРОВ</w:t>
      </w:r>
    </w:p>
    <w:p>
      <w:pPr>
        <w:pStyle w:val="0"/>
        <w:jc w:val="center"/>
      </w:pPr>
      <w:r>
        <w:rPr>
          <w:sz w:val="24"/>
        </w:rPr>
      </w:r>
    </w:p>
    <w:p>
      <w:pPr>
        <w:pStyle w:val="2"/>
        <w:outlineLvl w:val="3"/>
        <w:ind w:firstLine="540"/>
        <w:jc w:val="both"/>
      </w:pPr>
      <w:r>
        <w:rPr>
          <w:sz w:val="24"/>
        </w:rPr>
        <w:t xml:space="preserve">Статья 48. Цель создания систем предотвращения пожаров</w:t>
      </w:r>
    </w:p>
    <w:p>
      <w:pPr>
        <w:pStyle w:val="0"/>
        <w:ind w:firstLine="540"/>
        <w:jc w:val="both"/>
      </w:pPr>
      <w:r>
        <w:rPr>
          <w:sz w:val="24"/>
        </w:rPr>
      </w:r>
    </w:p>
    <w:p>
      <w:pPr>
        <w:pStyle w:val="0"/>
        <w:ind w:firstLine="540"/>
        <w:jc w:val="both"/>
      </w:pPr>
      <w:r>
        <w:rPr>
          <w:sz w:val="24"/>
        </w:rPr>
        <w:t xml:space="preserve">1. Целью создания систем предотвращения пожаров является исключение условий возникновения пожаров.</w:t>
      </w:r>
    </w:p>
    <w:p>
      <w:pPr>
        <w:pStyle w:val="0"/>
        <w:spacing w:before="240" w:line-rule="auto"/>
        <w:ind w:firstLine="540"/>
        <w:jc w:val="both"/>
      </w:pPr>
      <w:r>
        <w:rPr>
          <w:sz w:val="24"/>
        </w:rPr>
        <w:t xml:space="preserve">2. Исключение условий возникновения пожаров достигается исключением условий образования горючей среды и (или) исключением условий образования в горючей среде (или внесения в нее) источников зажигания.</w:t>
      </w:r>
    </w:p>
    <w:p>
      <w:pPr>
        <w:pStyle w:val="0"/>
        <w:spacing w:before="240" w:line-rule="auto"/>
        <w:ind w:firstLine="540"/>
        <w:jc w:val="both"/>
      </w:pPr>
      <w:r>
        <w:rPr>
          <w:sz w:val="24"/>
        </w:rPr>
        <w:t xml:space="preserve">3. Состав и функциональные характеристики систем предотвращения пожаров на объекте защиты устанавливаются настоящим Федеральным законом. Правила и методы исследований (испытаний и измерений) характеристик систем предотвращения пожаров определяются в соответствии с нормативными документами по пожарной безопасности.</w:t>
      </w:r>
    </w:p>
    <w:p>
      <w:pPr>
        <w:pStyle w:val="0"/>
        <w:ind w:firstLine="540"/>
        <w:jc w:val="both"/>
      </w:pPr>
      <w:r>
        <w:rPr>
          <w:sz w:val="24"/>
        </w:rPr>
      </w:r>
    </w:p>
    <w:p>
      <w:pPr>
        <w:pStyle w:val="2"/>
        <w:outlineLvl w:val="3"/>
        <w:ind w:firstLine="540"/>
        <w:jc w:val="both"/>
      </w:pPr>
      <w:r>
        <w:rPr>
          <w:sz w:val="24"/>
        </w:rPr>
        <w:t xml:space="preserve">Статья 49. Способы исключения условий образования горючей среды</w:t>
      </w:r>
    </w:p>
    <w:p>
      <w:pPr>
        <w:pStyle w:val="0"/>
        <w:ind w:firstLine="540"/>
        <w:jc w:val="both"/>
      </w:pPr>
      <w:r>
        <w:rPr>
          <w:sz w:val="24"/>
        </w:rPr>
      </w:r>
    </w:p>
    <w:p>
      <w:pPr>
        <w:pStyle w:val="0"/>
        <w:ind w:firstLine="540"/>
        <w:jc w:val="both"/>
      </w:pPr>
      <w:r>
        <w:rPr>
          <w:sz w:val="24"/>
        </w:rPr>
        <w:t xml:space="preserve">Исключение условий образования горючей среды должно обеспечиваться одним или несколькими из следующих способов:</w:t>
      </w:r>
    </w:p>
    <w:p>
      <w:pPr>
        <w:pStyle w:val="0"/>
        <w:spacing w:before="240" w:line-rule="auto"/>
        <w:ind w:firstLine="540"/>
        <w:jc w:val="both"/>
      </w:pPr>
      <w:r>
        <w:rPr>
          <w:sz w:val="24"/>
        </w:rPr>
        <w:t xml:space="preserve">1) применение негорючих веществ и материалов;</w:t>
      </w:r>
    </w:p>
    <w:p>
      <w:pPr>
        <w:pStyle w:val="0"/>
        <w:spacing w:before="240" w:line-rule="auto"/>
        <w:ind w:firstLine="540"/>
        <w:jc w:val="both"/>
      </w:pPr>
      <w:r>
        <w:rPr>
          <w:sz w:val="24"/>
        </w:rPr>
        <w:t xml:space="preserve">2) ограничение массы и (или) объема горючих веществ и материалов;</w:t>
      </w:r>
    </w:p>
    <w:p>
      <w:pPr>
        <w:pStyle w:val="0"/>
        <w:spacing w:before="240" w:line-rule="auto"/>
        <w:ind w:firstLine="540"/>
        <w:jc w:val="both"/>
      </w:pPr>
      <w:r>
        <w:rPr>
          <w:sz w:val="24"/>
        </w:rPr>
        <w:t xml:space="preserve">3) использование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горючей среды;</w:t>
      </w:r>
    </w:p>
    <w:p>
      <w:pPr>
        <w:pStyle w:val="0"/>
        <w:spacing w:before="240" w:line-rule="auto"/>
        <w:ind w:firstLine="540"/>
        <w:jc w:val="both"/>
      </w:pPr>
      <w:r>
        <w:rPr>
          <w:sz w:val="24"/>
        </w:rPr>
        <w:t xml:space="preserve">4) изоляция горючей среды от источников зажигания (применение изолированных отсеков, камер, кабин);</w:t>
      </w:r>
    </w:p>
    <w:p>
      <w:pPr>
        <w:pStyle w:val="0"/>
        <w:spacing w:before="240" w:line-rule="auto"/>
        <w:ind w:firstLine="540"/>
        <w:jc w:val="both"/>
      </w:pPr>
      <w:r>
        <w:rPr>
          <w:sz w:val="24"/>
        </w:rPr>
        <w:t xml:space="preserve">5) поддержание безопасной концентрации в среде окислителя и (или) горючих веществ;</w:t>
      </w:r>
    </w:p>
    <w:p>
      <w:pPr>
        <w:pStyle w:val="0"/>
        <w:spacing w:before="240" w:line-rule="auto"/>
        <w:ind w:firstLine="540"/>
        <w:jc w:val="both"/>
      </w:pPr>
      <w:r>
        <w:rPr>
          <w:sz w:val="24"/>
        </w:rPr>
        <w:t xml:space="preserve">6) понижение концентрации окислителя в горючей среде в защищаемом объеме;</w:t>
      </w:r>
    </w:p>
    <w:p>
      <w:pPr>
        <w:pStyle w:val="0"/>
        <w:spacing w:before="240" w:line-rule="auto"/>
        <w:ind w:firstLine="540"/>
        <w:jc w:val="both"/>
      </w:pPr>
      <w:r>
        <w:rPr>
          <w:sz w:val="24"/>
        </w:rPr>
        <w:t xml:space="preserve">7) поддержание температуры и давления среды, при которых распространение пламени исключается;</w:t>
      </w:r>
    </w:p>
    <w:p>
      <w:pPr>
        <w:pStyle w:val="0"/>
        <w:spacing w:before="240" w:line-rule="auto"/>
        <w:ind w:firstLine="540"/>
        <w:jc w:val="both"/>
      </w:pPr>
      <w:r>
        <w:rPr>
          <w:sz w:val="24"/>
        </w:rPr>
        <w:t xml:space="preserve">8) механизация и автоматизация технологических процессов, связанных с обращением горючих веществ;</w:t>
      </w:r>
    </w:p>
    <w:p>
      <w:pPr>
        <w:pStyle w:val="0"/>
        <w:spacing w:before="240" w:line-rule="auto"/>
        <w:ind w:firstLine="540"/>
        <w:jc w:val="both"/>
      </w:pPr>
      <w:r>
        <w:rPr>
          <w:sz w:val="24"/>
        </w:rPr>
        <w:t xml:space="preserve">9) установка пожароопасного оборудования в отдельных помещениях или на открытых площадках;</w:t>
      </w:r>
    </w:p>
    <w:p>
      <w:pPr>
        <w:pStyle w:val="0"/>
        <w:spacing w:before="240" w:line-rule="auto"/>
        <w:ind w:firstLine="540"/>
        <w:jc w:val="both"/>
      </w:pPr>
      <w:r>
        <w:rPr>
          <w:sz w:val="24"/>
        </w:rPr>
        <w:t xml:space="preserve">10) применение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w:t>
      </w:r>
    </w:p>
    <w:p>
      <w:pPr>
        <w:pStyle w:val="0"/>
        <w:spacing w:before="240" w:line-rule="auto"/>
        <w:ind w:firstLine="540"/>
        <w:jc w:val="both"/>
      </w:pPr>
      <w:r>
        <w:rPr>
          <w:sz w:val="24"/>
        </w:rPr>
        <w:t xml:space="preserve">11) удаление из помещений, технологического оборудования и коммуникаций пожароопасных отходов производства, отложений пыли, пуха.</w:t>
      </w:r>
    </w:p>
    <w:p>
      <w:pPr>
        <w:pStyle w:val="0"/>
        <w:ind w:firstLine="540"/>
        <w:jc w:val="both"/>
      </w:pPr>
      <w:r>
        <w:rPr>
          <w:sz w:val="24"/>
        </w:rPr>
      </w:r>
    </w:p>
    <w:p>
      <w:pPr>
        <w:pStyle w:val="2"/>
        <w:outlineLvl w:val="3"/>
        <w:ind w:firstLine="540"/>
        <w:jc w:val="both"/>
      </w:pPr>
      <w:r>
        <w:rPr>
          <w:sz w:val="24"/>
        </w:rPr>
        <w:t xml:space="preserve">Статья 50. Способы исключения условий образования в горючей среде (или внесения в нее) источников зажигания</w:t>
      </w:r>
    </w:p>
    <w:p>
      <w:pPr>
        <w:pStyle w:val="0"/>
        <w:ind w:firstLine="540"/>
        <w:jc w:val="both"/>
      </w:pPr>
      <w:r>
        <w:rPr>
          <w:sz w:val="24"/>
        </w:rPr>
      </w:r>
    </w:p>
    <w:p>
      <w:pPr>
        <w:pStyle w:val="0"/>
        <w:ind w:firstLine="540"/>
        <w:jc w:val="both"/>
      </w:pPr>
      <w:r>
        <w:rPr>
          <w:sz w:val="24"/>
        </w:rPr>
        <w:t xml:space="preserve">1. Исключение условий образования в горючей среде (или внесения в нее) источников зажигания должно достигаться одним или несколькими из следующих способов:</w:t>
      </w:r>
    </w:p>
    <w:p>
      <w:pPr>
        <w:pStyle w:val="0"/>
        <w:spacing w:before="240" w:line-rule="auto"/>
        <w:ind w:firstLine="540"/>
        <w:jc w:val="both"/>
      </w:pPr>
      <w:r>
        <w:rPr>
          <w:sz w:val="24"/>
        </w:rPr>
        <w:t xml:space="preserve">1) применение электрооборудования, соответствующего классу пожароопасной и (или) взрывоопасной зоны, категории и группе взрывоопасной смеси;</w:t>
      </w:r>
    </w:p>
    <w:p>
      <w:pPr>
        <w:pStyle w:val="0"/>
        <w:spacing w:before="240" w:line-rule="auto"/>
        <w:ind w:firstLine="540"/>
        <w:jc w:val="both"/>
      </w:pPr>
      <w:r>
        <w:rPr>
          <w:sz w:val="24"/>
        </w:rPr>
        <w:t xml:space="preserve">2) применение в конструкции быстродействующих средств защитного отключения электроустановок или других устройств, исключающих появление источников зажигания;</w:t>
      </w:r>
    </w:p>
    <w:p>
      <w:pPr>
        <w:pStyle w:val="0"/>
        <w:jc w:val="both"/>
      </w:pPr>
      <w:r>
        <w:rPr>
          <w:sz w:val="24"/>
        </w:rPr>
        <w:t xml:space="preserve">(п. 2 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применение оборудования и режимов проведения технологического процесса с защитой от статического электричества;</w:t>
      </w:r>
    </w:p>
    <w:p>
      <w:pPr>
        <w:pStyle w:val="0"/>
        <w:jc w:val="both"/>
      </w:pPr>
      <w:r>
        <w:rPr>
          <w:sz w:val="24"/>
        </w:rPr>
        <w:t xml:space="preserve">(в ред. Федерального </w:t>
      </w:r>
      <w:r>
        <w:rPr>
          <w:sz w:val="24"/>
        </w:rPr>
        <w:t xml:space="preserve">закона</w:t>
      </w:r>
      <w:r>
        <w:rPr>
          <w:sz w:val="24"/>
        </w:rPr>
        <w:t xml:space="preserve"> от 29.07.2017 N 244-ФЗ)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r>
              <w:rPr>
                <w:sz w:val="24"/>
                <w:color w:val="392c69"/>
              </w:rPr>
              <w:t xml:space="preserve">Инструкцию</w:t>
            </w:r>
            <w:r>
              <w:rPr>
                <w:sz w:val="24"/>
                <w:color w:val="392c69"/>
              </w:rPr>
              <w:t xml:space="preserve"> по устройству молниезащиты зданий, сооружений и промышленных коммуникаций, утв. Приказом Минэнерго РФ от 30.06.2003 N 280.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устройство молниезащиты зданий, сооружений и оборудования;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5) поддержание безопасной температуры нагрева веществ, материалов и поверхностей, которые контактируют с горючей средой;</w:t>
      </w:r>
    </w:p>
    <w:p>
      <w:pPr>
        <w:pStyle w:val="0"/>
        <w:spacing w:before="240" w:line-rule="auto"/>
        <w:ind w:firstLine="540"/>
        <w:jc w:val="both"/>
      </w:pPr>
      <w:r>
        <w:rPr>
          <w:sz w:val="24"/>
        </w:rPr>
        <w:t xml:space="preserve">6) применение способов и устройств ограничения энергии искрового разряда в горючей среде до безопасных значений;</w:t>
      </w:r>
    </w:p>
    <w:p>
      <w:pPr>
        <w:pStyle w:val="0"/>
        <w:spacing w:before="240" w:line-rule="auto"/>
        <w:ind w:firstLine="540"/>
        <w:jc w:val="both"/>
      </w:pPr>
      <w:r>
        <w:rPr>
          <w:sz w:val="24"/>
        </w:rPr>
        <w:t xml:space="preserve">7) применение искробезопасного инструмента при работе с легковоспламеняющимися жидкостями и горючими газами;</w:t>
      </w:r>
    </w:p>
    <w:p>
      <w:pPr>
        <w:pStyle w:val="0"/>
        <w:spacing w:before="240" w:line-rule="auto"/>
        <w:ind w:firstLine="540"/>
        <w:jc w:val="both"/>
      </w:pPr>
      <w:r>
        <w:rPr>
          <w:sz w:val="24"/>
        </w:rPr>
        <w:t xml:space="preserve">8) ликвидация условий для теплового, химического и (или) микробиологического самовозгорания обращающихся веществ, материалов и изделий;</w:t>
      </w:r>
    </w:p>
    <w:p>
      <w:pPr>
        <w:pStyle w:val="0"/>
        <w:spacing w:before="240" w:line-rule="auto"/>
        <w:ind w:firstLine="540"/>
        <w:jc w:val="both"/>
      </w:pPr>
      <w:r>
        <w:rPr>
          <w:sz w:val="24"/>
        </w:rPr>
        <w:t xml:space="preserve">9) исключение контакта с воздухом пирофорных веществ;</w:t>
      </w:r>
    </w:p>
    <w:p>
      <w:pPr>
        <w:pStyle w:val="0"/>
        <w:spacing w:before="240" w:line-rule="auto"/>
        <w:ind w:firstLine="540"/>
        <w:jc w:val="both"/>
      </w:pPr>
      <w:r>
        <w:rPr>
          <w:sz w:val="24"/>
        </w:rPr>
        <w:t xml:space="preserve">10) применение устройств, исключающих возможность распространения пламени из одного объема в смежный.</w:t>
      </w:r>
    </w:p>
    <w:p>
      <w:pPr>
        <w:pStyle w:val="0"/>
        <w:spacing w:before="240" w:line-rule="auto"/>
        <w:ind w:firstLine="540"/>
        <w:jc w:val="both"/>
      </w:pPr>
      <w:r>
        <w:rPr>
          <w:sz w:val="24"/>
        </w:rPr>
        <w:t xml:space="preserve">2.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 определенных в </w:t>
      </w:r>
      <w:hyperlink w:history="0" w:anchor="P220" w:tooltip="Статья 11. Показатели пожаровзрывоопасности и пожарной опасности веществ и материалов">
        <w:r>
          <w:rPr>
            <w:sz w:val="24"/>
            <w:color w:val="0000ff"/>
          </w:rPr>
          <w:t xml:space="preserve">статье 11</w:t>
        </w:r>
      </w:hyperlink>
      <w:r>
        <w:rPr>
          <w:sz w:val="24"/>
        </w:rPr>
        <w:t xml:space="preserve"> настоящего Федерального закона.</w:t>
      </w:r>
    </w:p>
    <w:p>
      <w:pPr>
        <w:pStyle w:val="0"/>
        <w:ind w:firstLine="540"/>
        <w:jc w:val="both"/>
      </w:pPr>
      <w:r>
        <w:rPr>
          <w:sz w:val="24"/>
        </w:rPr>
      </w:r>
    </w:p>
    <w:p>
      <w:pPr>
        <w:pStyle w:val="2"/>
        <w:outlineLvl w:val="2"/>
        <w:jc w:val="center"/>
      </w:pPr>
      <w:r>
        <w:rPr>
          <w:sz w:val="24"/>
        </w:rPr>
        <w:t xml:space="preserve">Глава 14. СИСТЕМЫ ПРОТИВОПОЖАРНОЙ ЗАЩИТЫ</w:t>
      </w:r>
    </w:p>
    <w:p>
      <w:pPr>
        <w:pStyle w:val="0"/>
        <w:jc w:val="center"/>
      </w:pPr>
      <w:r>
        <w:rPr>
          <w:sz w:val="24"/>
        </w:rPr>
      </w:r>
    </w:p>
    <w:p>
      <w:pPr>
        <w:pStyle w:val="2"/>
        <w:outlineLvl w:val="3"/>
        <w:ind w:firstLine="540"/>
        <w:jc w:val="both"/>
      </w:pPr>
      <w:r>
        <w:rPr>
          <w:sz w:val="24"/>
        </w:rPr>
        <w:t xml:space="preserve">Статья 51. Цель создания систем противопожарной защиты</w:t>
      </w:r>
    </w:p>
    <w:p>
      <w:pPr>
        <w:pStyle w:val="0"/>
        <w:ind w:firstLine="540"/>
        <w:jc w:val="both"/>
      </w:pPr>
      <w:r>
        <w:rPr>
          <w:sz w:val="24"/>
        </w:rPr>
      </w:r>
    </w:p>
    <w:p>
      <w:pPr>
        <w:pStyle w:val="0"/>
        <w:ind w:firstLine="540"/>
        <w:jc w:val="both"/>
      </w:pPr>
      <w:r>
        <w:rPr>
          <w:sz w:val="24"/>
        </w:rPr>
        <w:t xml:space="preserve">1. Целью создания систем противопожарной защиты является защита людей и имущества от воздействия опасных факторов пожара и (или) ограничение его последствий.</w:t>
      </w:r>
    </w:p>
    <w:p>
      <w:pPr>
        <w:pStyle w:val="0"/>
        <w:spacing w:before="240" w:line-rule="auto"/>
        <w:ind w:firstLine="540"/>
        <w:jc w:val="both"/>
      </w:pPr>
      <w:r>
        <w:rPr>
          <w:sz w:val="24"/>
        </w:rPr>
        <w:t xml:space="preserve">2. Защита людей и имущества от воздействия опасных факторов пожара и (или) ограничение его последствий обеспечиваются снижением динамики нарастания опасных факторов пожара, эвакуацией людей и имущества в безопасную зону и (или) тушением пожара.</w:t>
      </w:r>
    </w:p>
    <w:p>
      <w:pPr>
        <w:pStyle w:val="0"/>
        <w:spacing w:before="240" w:line-rule="auto"/>
        <w:ind w:firstLine="540"/>
        <w:jc w:val="both"/>
      </w:pPr>
      <w:r>
        <w:rPr>
          <w:sz w:val="24"/>
        </w:rPr>
        <w:t xml:space="preserve">3. Системы противопожарной защиты должны обладать надежностью и устойчивостью к воздействию опасных факторов пожара в течение времени, необходимого для достижения целей обеспечения пожарной безопасности.</w:t>
      </w:r>
    </w:p>
    <w:p>
      <w:pPr>
        <w:pStyle w:val="0"/>
        <w:spacing w:before="240" w:line-rule="auto"/>
        <w:ind w:firstLine="540"/>
        <w:jc w:val="both"/>
      </w:pPr>
      <w:r>
        <w:rPr>
          <w:sz w:val="24"/>
        </w:rPr>
        <w:t xml:space="preserve">4. Состав и функциональные характеристики систем противопожарной защиты объектов устанавливаются нормативными документами по пожарной безопасности.</w:t>
      </w:r>
    </w:p>
    <w:p>
      <w:pPr>
        <w:pStyle w:val="0"/>
        <w:ind w:firstLine="540"/>
        <w:jc w:val="both"/>
      </w:pPr>
      <w:r>
        <w:rPr>
          <w:sz w:val="24"/>
        </w:rPr>
      </w:r>
    </w:p>
    <w:p>
      <w:pPr>
        <w:pStyle w:val="2"/>
        <w:outlineLvl w:val="3"/>
        <w:ind w:firstLine="540"/>
        <w:jc w:val="both"/>
      </w:pPr>
      <w:r>
        <w:rPr>
          <w:sz w:val="24"/>
        </w:rPr>
        <w:t xml:space="preserve">Статья 52. Способы защиты людей и имущества от воздействия опасных факторов пожара</w:t>
      </w:r>
    </w:p>
    <w:p>
      <w:pPr>
        <w:pStyle w:val="0"/>
        <w:ind w:firstLine="540"/>
        <w:jc w:val="both"/>
      </w:pPr>
      <w:r>
        <w:rPr>
          <w:sz w:val="24"/>
        </w:rPr>
      </w:r>
    </w:p>
    <w:p>
      <w:pPr>
        <w:pStyle w:val="0"/>
        <w:ind w:firstLine="540"/>
        <w:jc w:val="both"/>
      </w:pPr>
      <w:r>
        <w:rPr>
          <w:sz w:val="24"/>
        </w:rPr>
        <w:t xml:space="preserve">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pPr>
        <w:pStyle w:val="0"/>
        <w:spacing w:before="240" w:line-rule="auto"/>
        <w:ind w:firstLine="540"/>
        <w:jc w:val="both"/>
      </w:pPr>
      <w:r>
        <w:rPr>
          <w:sz w:val="24"/>
        </w:rPr>
        <w:t xml:space="preserve">1) применение объемно-планировочных решений и средств, обеспечивающих ограничение распространения пожара за пределы очага;</w:t>
      </w:r>
    </w:p>
    <w:p>
      <w:pPr>
        <w:pStyle w:val="0"/>
        <w:spacing w:before="240" w:line-rule="auto"/>
        <w:ind w:firstLine="540"/>
        <w:jc w:val="both"/>
      </w:pPr>
      <w:r>
        <w:rPr>
          <w:sz w:val="24"/>
        </w:rPr>
        <w:t xml:space="preserve">2) устройство эвакуационных путей, удовлетворяющих требованиям безопасной эвакуации людей при пожаре;</w:t>
      </w:r>
    </w:p>
    <w:p>
      <w:pPr>
        <w:pStyle w:val="0"/>
        <w:spacing w:before="240" w:line-rule="auto"/>
        <w:ind w:firstLine="540"/>
        <w:jc w:val="both"/>
      </w:pPr>
      <w:r>
        <w:rPr>
          <w:sz w:val="24"/>
        </w:rPr>
        <w:t xml:space="preserve">3) устройство систем обнаружения пожара (установок и систем пожарной сигнализации), оповещения и управления эвакуацией людей при пожаре;</w:t>
      </w:r>
    </w:p>
    <w:p>
      <w:pPr>
        <w:pStyle w:val="0"/>
        <w:spacing w:before="240" w:line-rule="auto"/>
        <w:ind w:firstLine="540"/>
        <w:jc w:val="both"/>
      </w:pPr>
      <w:r>
        <w:rPr>
          <w:sz w:val="24"/>
        </w:rPr>
        <w:t xml:space="preserve">4) применение систем коллективной защиты (в том числе противодымной) и средств индивидуальной защиты людей от воздействия опасных факторов пожара;</w:t>
      </w:r>
    </w:p>
    <w:p>
      <w:pPr>
        <w:pStyle w:val="0"/>
        <w:spacing w:before="240" w:line-rule="auto"/>
        <w:ind w:firstLine="540"/>
        <w:jc w:val="both"/>
      </w:pPr>
      <w:r>
        <w:rPr>
          <w:sz w:val="24"/>
        </w:rPr>
        <w:t xml:space="preserve">5) 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w:t>
      </w:r>
    </w:p>
    <w:p>
      <w:pPr>
        <w:pStyle w:val="0"/>
        <w:spacing w:before="240" w:line-rule="auto"/>
        <w:ind w:firstLine="540"/>
        <w:jc w:val="both"/>
      </w:pPr>
      <w:r>
        <w:rPr>
          <w:sz w:val="24"/>
        </w:rPr>
        <w:t xml:space="preserve">7) устройство аварийного слива пожароопасных жидкостей и аварийного стравливания горючих газов из аппаратуры;</w:t>
      </w:r>
    </w:p>
    <w:p>
      <w:pPr>
        <w:pStyle w:val="0"/>
        <w:spacing w:before="240" w:line-rule="auto"/>
        <w:ind w:firstLine="540"/>
        <w:jc w:val="both"/>
      </w:pPr>
      <w:r>
        <w:rPr>
          <w:sz w:val="24"/>
        </w:rPr>
        <w:t xml:space="preserve">8) устройство на технологическом оборудовании систем противовзрывной защиты;</w:t>
      </w:r>
    </w:p>
    <w:p>
      <w:pPr>
        <w:pStyle w:val="0"/>
        <w:spacing w:before="240" w:line-rule="auto"/>
        <w:ind w:firstLine="540"/>
        <w:jc w:val="both"/>
      </w:pPr>
      <w:r>
        <w:rPr>
          <w:sz w:val="24"/>
        </w:rPr>
        <w:t xml:space="preserve">9) применение первичных средств пожаротушения;</w:t>
      </w:r>
    </w:p>
    <w:p>
      <w:pPr>
        <w:pStyle w:val="0"/>
        <w:spacing w:before="240" w:line-rule="auto"/>
        <w:ind w:firstLine="540"/>
        <w:jc w:val="both"/>
      </w:pPr>
      <w:r>
        <w:rPr>
          <w:sz w:val="24"/>
        </w:rPr>
        <w:t xml:space="preserve">10) применение автоматических и (или) автономных установок пожаротушения;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11) организация деятельности подразделений пожарной охраны.</w:t>
      </w:r>
    </w:p>
    <w:p>
      <w:pPr>
        <w:pStyle w:val="0"/>
        <w:ind w:firstLine="540"/>
        <w:jc w:val="both"/>
      </w:pPr>
      <w:r>
        <w:rPr>
          <w:sz w:val="24"/>
        </w:rPr>
      </w:r>
    </w:p>
    <w:p>
      <w:pPr>
        <w:pStyle w:val="2"/>
        <w:outlineLvl w:val="3"/>
        <w:ind w:firstLine="540"/>
        <w:jc w:val="both"/>
      </w:pPr>
      <w:r>
        <w:rPr>
          <w:sz w:val="24"/>
        </w:rPr>
        <w:t xml:space="preserve">Статья 53. Пути эвакуации людей при пожаре</w:t>
      </w:r>
    </w:p>
    <w:p>
      <w:pPr>
        <w:pStyle w:val="0"/>
        <w:ind w:firstLine="540"/>
        <w:jc w:val="both"/>
      </w:pPr>
      <w:r>
        <w:rPr>
          <w:sz w:val="24"/>
        </w:rPr>
      </w:r>
    </w:p>
    <w:p>
      <w:pPr>
        <w:pStyle w:val="0"/>
        <w:ind w:firstLine="540"/>
        <w:jc w:val="both"/>
      </w:pPr>
      <w:r>
        <w:rPr>
          <w:sz w:val="24"/>
        </w:rPr>
        <w:t xml:space="preserve">1. Каждое здание или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Для обеспечения безопасной эвакуации людей должны быть:</w:t>
      </w:r>
    </w:p>
    <w:p>
      <w:pPr>
        <w:pStyle w:val="0"/>
        <w:spacing w:before="240" w:line-rule="auto"/>
        <w:ind w:firstLine="540"/>
        <w:jc w:val="both"/>
      </w:pPr>
      <w:r>
        <w:rPr>
          <w:sz w:val="24"/>
        </w:rPr>
        <w:t xml:space="preserve">1) установлены необходимое количество, размеры и соответствующее конструктивное исполнение эвакуационных путей и эвакуационных выходов;</w:t>
      </w:r>
    </w:p>
    <w:p>
      <w:pPr>
        <w:pStyle w:val="0"/>
        <w:spacing w:before="240" w:line-rule="auto"/>
        <w:ind w:firstLine="540"/>
        <w:jc w:val="both"/>
      </w:pPr>
      <w:r>
        <w:rPr>
          <w:sz w:val="24"/>
        </w:rPr>
        <w:t xml:space="preserve">2) обеспечено беспрепятственное движение людей по эвакуационным путям и через эвакуационные выходы;</w:t>
      </w:r>
    </w:p>
    <w:p>
      <w:pPr>
        <w:pStyle w:val="0"/>
        <w:spacing w:before="240" w:line-rule="auto"/>
        <w:ind w:firstLine="540"/>
        <w:jc w:val="both"/>
      </w:pPr>
      <w:r>
        <w:rPr>
          <w:sz w:val="24"/>
        </w:rPr>
        <w:t xml:space="preserve">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p>
      <w:pPr>
        <w:pStyle w:val="0"/>
        <w:spacing w:before="240" w:line-rule="auto"/>
        <w:ind w:firstLine="540"/>
        <w:jc w:val="both"/>
      </w:pPr>
      <w:r>
        <w:rPr>
          <w:sz w:val="24"/>
        </w:rPr>
        <w:t xml:space="preserve">3. Безопасная эвакуация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4. </w:t>
      </w:r>
      <w:r>
        <w:rPr>
          <w:sz w:val="24"/>
        </w:rPr>
        <w:t xml:space="preserve">Методы</w:t>
      </w:r>
      <w:r>
        <w:rPr>
          <w:sz w:val="24"/>
        </w:rPr>
        <w:t xml:space="preserve"> определения необходимого и расчетного времени, а также условий беспрепятственной и своевременной эвакуации людей определяются нормативными документами по пожарной безопасности.</w:t>
      </w:r>
    </w:p>
    <w:p>
      <w:pPr>
        <w:pStyle w:val="0"/>
        <w:ind w:firstLine="540"/>
        <w:jc w:val="both"/>
      </w:pPr>
      <w:r>
        <w:rPr>
          <w:sz w:val="24"/>
        </w:rPr>
      </w:r>
    </w:p>
    <w:p>
      <w:pPr>
        <w:pStyle w:val="2"/>
        <w:outlineLvl w:val="3"/>
        <w:ind w:firstLine="540"/>
        <w:jc w:val="both"/>
      </w:pPr>
      <w:r>
        <w:rPr>
          <w:sz w:val="24"/>
        </w:rPr>
        <w:t xml:space="preserve">Статья 54. Системы обнаружения пожара, оповещения и управления эвакуацией людей при пожаре</w:t>
      </w:r>
    </w:p>
    <w:p>
      <w:pPr>
        <w:pStyle w:val="0"/>
        <w:ind w:firstLine="540"/>
        <w:jc w:val="both"/>
      </w:pPr>
      <w:r>
        <w:rPr>
          <w:sz w:val="24"/>
        </w:rPr>
      </w:r>
    </w:p>
    <w:p>
      <w:pPr>
        <w:pStyle w:val="0"/>
        <w:ind w:firstLine="540"/>
        <w:jc w:val="both"/>
      </w:pPr>
      <w:r>
        <w:rPr>
          <w:sz w:val="24"/>
        </w:rPr>
        <w:t xml:space="preserve">1. Системы обнаружения пожара (установки и системы пожарной сигнализации), </w:t>
      </w:r>
      <w:r>
        <w:rPr>
          <w:sz w:val="24"/>
        </w:rPr>
        <w:t xml:space="preserve">оповещения и управления</w:t>
      </w:r>
      <w:r>
        <w:rPr>
          <w:sz w:val="24"/>
        </w:rPr>
        <w:t xml:space="preserve"> эвакуацией людей при пожаре должны обеспечивать автоматическое обнаружение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конкретного объекта.</w:t>
      </w:r>
    </w:p>
    <w:p>
      <w:pPr>
        <w:pStyle w:val="0"/>
        <w:spacing w:before="240" w:line-rule="auto"/>
        <w:ind w:firstLine="540"/>
        <w:jc w:val="both"/>
      </w:pPr>
      <w:r>
        <w:rPr>
          <w:sz w:val="24"/>
        </w:rPr>
        <w:t xml:space="preserve">2. Системы пожарной сигнализации, оповещения и управления эвакуацией людей при пожаре должны быть установлены на объектах, где воздействие опасных факторов пожара может привести к травматизму и (или) гибели людей. </w:t>
      </w:r>
      <w:r>
        <w:rPr>
          <w:sz w:val="24"/>
        </w:rPr>
        <w:t xml:space="preserve">Перечень</w:t>
      </w:r>
      <w:r>
        <w:rPr>
          <w:sz w:val="24"/>
        </w:rPr>
        <w:t xml:space="preserve"> объектов, подлежащих оснащению указанными системами, устанавливается нормативными документами по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55. Системы коллективной защиты людей от опасных факторов пожара</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ind w:firstLine="540"/>
        <w:jc w:val="both"/>
      </w:pPr>
      <w:r>
        <w:rPr>
          <w:sz w:val="24"/>
        </w:rPr>
      </w:r>
    </w:p>
    <w:p>
      <w:pPr>
        <w:pStyle w:val="0"/>
        <w:ind w:firstLine="540"/>
        <w:jc w:val="both"/>
      </w:pPr>
      <w:r>
        <w:rPr>
          <w:sz w:val="24"/>
        </w:rPr>
        <w:t xml:space="preserve">1. Системы коллективной защиты людей от воздействия опасных факторов пожара должны обеспечивать безопасность людей в течение всего времени воздействия на них опасных факторов пожара.</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Системы коллективной защиты людей должны обеспечивать их безопасность в течение всего времени развития и тушения пожара или времени, необходимого для эвакуации людей в безопасную зону. Безопасность людей в этом случае должна достигаться посредством объемно-планировочных и конструктивных решений безопасных зон в зданиях и сооружениях (в том числе посредством устройства незадымляемых лестничных клеток), а также посредством использования технических средств защиты людей на путях эвакуации от воздействия опасных факторов пожара (в том числе средств противодымной защиты).</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56. Система противодымной защиты</w:t>
      </w:r>
    </w:p>
    <w:p>
      <w:pPr>
        <w:pStyle w:val="0"/>
        <w:ind w:firstLine="540"/>
        <w:jc w:val="both"/>
      </w:pPr>
      <w:r>
        <w:rPr>
          <w:sz w:val="24"/>
        </w:rPr>
      </w:r>
    </w:p>
    <w:p>
      <w:pPr>
        <w:pStyle w:val="0"/>
        <w:ind w:firstLine="540"/>
        <w:jc w:val="both"/>
      </w:pPr>
      <w:r>
        <w:rPr>
          <w:sz w:val="24"/>
        </w:rPr>
        <w:t xml:space="preserve">1. Система противодымной защиты здания, сооружения должна обеспечивать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посредством удаления продуктов горения и термического разложения и (или) предотвращения их распространения.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Система противодымной защиты должна предусматривать один или несколько из следующих способов защиты:</w:t>
      </w:r>
    </w:p>
    <w:p>
      <w:pPr>
        <w:pStyle w:val="0"/>
        <w:spacing w:before="240" w:line-rule="auto"/>
        <w:ind w:firstLine="540"/>
        <w:jc w:val="both"/>
      </w:pPr>
      <w:r>
        <w:rPr>
          <w:sz w:val="24"/>
        </w:rPr>
        <w:t xml:space="preserve">1) использование объемно-планировочных решений зданий и сооружений для борьбы с задымлением при пожаре;</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использование конструктивных решений зданий и сооружений для борьбы с задымлением при пожаре;</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использование приточной противодымной вентиляции для создания избыточного давления воздуха в защищаемых помещениях, тамбур-шлюзах и на лестничных клетках;</w:t>
      </w:r>
    </w:p>
    <w:p>
      <w:pPr>
        <w:pStyle w:val="0"/>
        <w:spacing w:before="240" w:line-rule="auto"/>
        <w:ind w:firstLine="540"/>
        <w:jc w:val="both"/>
      </w:pPr>
      <w:r>
        <w:rPr>
          <w:sz w:val="24"/>
        </w:rPr>
        <w:t xml:space="preserve">4) 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w:t>
      </w:r>
    </w:p>
    <w:p>
      <w:pPr>
        <w:pStyle w:val="0"/>
        <w:ind w:firstLine="540"/>
        <w:jc w:val="both"/>
      </w:pPr>
      <w:r>
        <w:rPr>
          <w:sz w:val="24"/>
        </w:rPr>
      </w:r>
    </w:p>
    <w:p>
      <w:pPr>
        <w:pStyle w:val="2"/>
        <w:outlineLvl w:val="3"/>
        <w:ind w:firstLine="540"/>
        <w:jc w:val="both"/>
      </w:pPr>
      <w:r>
        <w:rPr>
          <w:sz w:val="24"/>
        </w:rPr>
        <w:t xml:space="preserve">Статья 57. Огнестойкость и пожарная опасность зданий и сооружений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В зданиях и сооружениях должны применяться основные строительные конструкции с пределами огнестойкости и классами пожарной опасности, соответствующими требуемым степени огнестойкости зданий, сооружений и классу их конструктивной пожарной 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w:t>
      </w:r>
      <w:r>
        <w:rPr>
          <w:sz w:val="24"/>
        </w:rPr>
        <w:t xml:space="preserve">Требуемые</w:t>
      </w:r>
      <w:r>
        <w:rPr>
          <w:sz w:val="24"/>
        </w:rPr>
        <w:t xml:space="preserve"> степень огнестойкости зданий, сооружений и класс их конструктивной пожарной опасности устанавливаются нормативными документами по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58. Огнестойкость и пожарная опасность строительных конструкций</w:t>
      </w:r>
    </w:p>
    <w:p>
      <w:pPr>
        <w:pStyle w:val="0"/>
        <w:ind w:firstLine="540"/>
        <w:jc w:val="both"/>
      </w:pPr>
      <w:r>
        <w:rPr>
          <w:sz w:val="24"/>
        </w:rPr>
      </w:r>
    </w:p>
    <w:p>
      <w:pPr>
        <w:pStyle w:val="0"/>
        <w:ind w:firstLine="540"/>
        <w:jc w:val="both"/>
      </w:pPr>
      <w:r>
        <w:rPr>
          <w:sz w:val="24"/>
        </w:rPr>
        <w:t xml:space="preserve">1.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w:t>
      </w:r>
    </w:p>
    <w:p>
      <w:pPr>
        <w:pStyle w:val="0"/>
        <w:spacing w:before="240" w:line-rule="auto"/>
        <w:ind w:firstLine="540"/>
        <w:jc w:val="both"/>
      </w:pPr>
      <w:r>
        <w:rPr>
          <w:sz w:val="24"/>
        </w:rPr>
        <w:t xml:space="preserve">2. Требуемые пределы огнестойкости строительных конструкций, выбираемые в зависимости от степени огнестойкости зданий и сооружений, приведены в </w:t>
      </w:r>
      <w:hyperlink w:history="0" w:anchor="P2948" w:tooltip="Соответствие степени огнестойкости и предела огнестойкости">
        <w:r>
          <w:rPr>
            <w:sz w:val="24"/>
            <w:color w:val="0000ff"/>
          </w:rPr>
          <w:t xml:space="preserve">таблице 21</w:t>
        </w:r>
      </w:hyperlink>
      <w:r>
        <w:rPr>
          <w:sz w:val="24"/>
        </w:rPr>
        <w:t xml:space="preserve"> приложения к настоящему Федеральному закону.</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59. Ограничение распространения пожара за пределы очага</w:t>
      </w:r>
    </w:p>
    <w:p>
      <w:pPr>
        <w:pStyle w:val="0"/>
        <w:ind w:firstLine="540"/>
        <w:jc w:val="both"/>
      </w:pPr>
      <w:r>
        <w:rPr>
          <w:sz w:val="24"/>
        </w:rPr>
      </w:r>
    </w:p>
    <w:p>
      <w:pPr>
        <w:pStyle w:val="0"/>
        <w:ind w:firstLine="540"/>
        <w:jc w:val="both"/>
      </w:pPr>
      <w:r>
        <w:rPr>
          <w:sz w:val="24"/>
        </w:rPr>
        <w:t xml:space="preserve">Ограничение распространения пожара за пределы очага должно обеспечиваться одним или несколькими из следующих способов:</w:t>
      </w:r>
    </w:p>
    <w:p>
      <w:pPr>
        <w:pStyle w:val="0"/>
        <w:spacing w:before="240" w:line-rule="auto"/>
        <w:ind w:firstLine="540"/>
        <w:jc w:val="both"/>
      </w:pPr>
      <w:r>
        <w:rPr>
          <w:sz w:val="24"/>
        </w:rPr>
        <w:t xml:space="preserve">1) устройство противопожарных преград;</w:t>
      </w:r>
    </w:p>
    <w:p>
      <w:pPr>
        <w:pStyle w:val="0"/>
        <w:spacing w:before="240" w:line-rule="auto"/>
        <w:ind w:firstLine="540"/>
        <w:jc w:val="both"/>
      </w:pPr>
      <w:r>
        <w:rPr>
          <w:sz w:val="24"/>
        </w:rPr>
        <w:t xml:space="preserve">2) устройство пожарных отсеков и секций, а также ограничение этажности или высоты зданий и сооружений;</w:t>
      </w:r>
    </w:p>
    <w:p>
      <w:pPr>
        <w:pStyle w:val="0"/>
        <w:jc w:val="both"/>
      </w:pPr>
      <w:r>
        <w:rPr>
          <w:sz w:val="24"/>
        </w:rPr>
        <w:t xml:space="preserve">(в ред. Федеральных законов от 10.07.2012 </w:t>
      </w:r>
      <w:r>
        <w:rPr>
          <w:sz w:val="24"/>
        </w:rPr>
        <w:t xml:space="preserve">N 117-ФЗ</w:t>
      </w:r>
      <w:r>
        <w:rPr>
          <w:sz w:val="24"/>
        </w:rPr>
        <w:t xml:space="preserve">, от 29.07.2017 </w:t>
      </w:r>
      <w:r>
        <w:rPr>
          <w:sz w:val="24"/>
        </w:rPr>
        <w:t xml:space="preserve">N 244-ФЗ</w:t>
      </w:r>
      <w:r>
        <w:rPr>
          <w:sz w:val="24"/>
        </w:rPr>
        <w:t xml:space="preserve">)</w:t>
      </w:r>
    </w:p>
    <w:p>
      <w:pPr>
        <w:pStyle w:val="0"/>
        <w:spacing w:before="240" w:line-rule="auto"/>
        <w:ind w:firstLine="540"/>
        <w:jc w:val="both"/>
      </w:pPr>
      <w:r>
        <w:rPr>
          <w:sz w:val="24"/>
        </w:rPr>
        <w:t xml:space="preserve">3) применение устройств аварийного отключения и переключение установок и коммуникаций при пожаре;</w:t>
      </w:r>
    </w:p>
    <w:p>
      <w:pPr>
        <w:pStyle w:val="0"/>
        <w:spacing w:before="240" w:line-rule="auto"/>
        <w:ind w:firstLine="540"/>
        <w:jc w:val="both"/>
      </w:pPr>
      <w:r>
        <w:rPr>
          <w:sz w:val="24"/>
        </w:rPr>
        <w:t xml:space="preserve">4) применение средств, предотвращающих или ограничивающих разлив и растекание жидкостей при пожаре;</w:t>
      </w:r>
    </w:p>
    <w:p>
      <w:pPr>
        <w:pStyle w:val="0"/>
        <w:spacing w:before="240" w:line-rule="auto"/>
        <w:ind w:firstLine="540"/>
        <w:jc w:val="both"/>
      </w:pPr>
      <w:r>
        <w:rPr>
          <w:sz w:val="24"/>
        </w:rPr>
        <w:t xml:space="preserve">5) применение огнепреграждающих устройств в оборудовании;</w:t>
      </w:r>
    </w:p>
    <w:p>
      <w:pPr>
        <w:pStyle w:val="0"/>
        <w:spacing w:before="240" w:line-rule="auto"/>
        <w:ind w:firstLine="540"/>
        <w:jc w:val="both"/>
      </w:pPr>
      <w:r>
        <w:rPr>
          <w:sz w:val="24"/>
        </w:rPr>
        <w:t xml:space="preserve">6) применение установок пожаротушения.</w:t>
      </w:r>
    </w:p>
    <w:p>
      <w:pPr>
        <w:pStyle w:val="0"/>
        <w:ind w:firstLine="540"/>
        <w:jc w:val="both"/>
      </w:pPr>
      <w:r>
        <w:rPr>
          <w:sz w:val="24"/>
        </w:rPr>
      </w:r>
    </w:p>
    <w:p>
      <w:pPr>
        <w:pStyle w:val="2"/>
        <w:outlineLvl w:val="3"/>
        <w:ind w:firstLine="540"/>
        <w:jc w:val="both"/>
      </w:pPr>
      <w:r>
        <w:rPr>
          <w:sz w:val="24"/>
        </w:rPr>
        <w:t xml:space="preserve">Статья 60. Первичные средства пожаротушения в зданиях и сооружениях</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Здания и сооружения должны быть обеспечены первичными средствами пожаротушения лицами, уполномоченными владеть, пользоваться или распоряжаться зданиями и сооружениями.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сооружения, параметров окружающей среды и мест размещения обслуживающего персонала.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61. Автоматические, в том числе автономные, установки пожаротушения</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ind w:firstLine="540"/>
        <w:jc w:val="both"/>
      </w:pPr>
      <w:r>
        <w:rPr>
          <w:sz w:val="24"/>
        </w:rPr>
      </w:r>
    </w:p>
    <w:p>
      <w:pPr>
        <w:pStyle w:val="0"/>
        <w:ind w:firstLine="540"/>
        <w:jc w:val="both"/>
      </w:pPr>
      <w:r>
        <w:rPr>
          <w:sz w:val="24"/>
        </w:rPr>
        <w:t xml:space="preserve">1. Утратил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2. Применение автоматических, в том числе автономных, установок пожаротушения должно обеспечивать достижение одной или нескольких из следующих целей:</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1) ликвидация пожара в помещении (здании) до возникновения критических значений опасных факторов пожара;</w:t>
      </w:r>
    </w:p>
    <w:p>
      <w:pPr>
        <w:pStyle w:val="0"/>
        <w:spacing w:before="240" w:line-rule="auto"/>
        <w:ind w:firstLine="540"/>
        <w:jc w:val="both"/>
      </w:pPr>
      <w:r>
        <w:rPr>
          <w:sz w:val="24"/>
        </w:rPr>
        <w:t xml:space="preserve">2) ликвидация пожара в помещении (здании) до наступления пределов огнестойкости строительных конструкций;</w:t>
      </w:r>
    </w:p>
    <w:p>
      <w:pPr>
        <w:pStyle w:val="0"/>
        <w:spacing w:before="240" w:line-rule="auto"/>
        <w:ind w:firstLine="540"/>
        <w:jc w:val="both"/>
      </w:pPr>
      <w:r>
        <w:rPr>
          <w:sz w:val="24"/>
        </w:rPr>
        <w:t xml:space="preserve">3) ликвидация пожара в помещении (здании) до причинения максимально допустимого ущерба защищаемому имуществу;</w:t>
      </w:r>
    </w:p>
    <w:p>
      <w:pPr>
        <w:pStyle w:val="0"/>
        <w:spacing w:before="240" w:line-rule="auto"/>
        <w:ind w:firstLine="540"/>
        <w:jc w:val="both"/>
      </w:pPr>
      <w:r>
        <w:rPr>
          <w:sz w:val="24"/>
        </w:rPr>
        <w:t xml:space="preserve">4) ликвидация пожара в помещении (здании) до наступления опасности разрушения технологических установок.</w:t>
      </w:r>
    </w:p>
    <w:p>
      <w:pPr>
        <w:pStyle w:val="0"/>
        <w:spacing w:before="240" w:line-rule="auto"/>
        <w:ind w:firstLine="540"/>
        <w:jc w:val="both"/>
      </w:pPr>
      <w:r>
        <w:rPr>
          <w:sz w:val="24"/>
        </w:rPr>
        <w:t xml:space="preserve">3. Тип автоматической, в том числе автономной, установки пожаротушения, вид огнетушащего вещества и способ его подачи в очаг пожара определяются в зависимости от вида горючего материала, объемно-планировочных решений здания, сооружения и параметров окружающей среды.</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ind w:firstLine="540"/>
        <w:jc w:val="both"/>
      </w:pPr>
      <w:r>
        <w:rPr>
          <w:sz w:val="24"/>
        </w:rPr>
      </w:r>
    </w:p>
    <w:p>
      <w:pPr>
        <w:pStyle w:val="2"/>
        <w:outlineLvl w:val="3"/>
        <w:ind w:firstLine="540"/>
        <w:jc w:val="both"/>
      </w:pPr>
      <w:r>
        <w:rPr>
          <w:sz w:val="24"/>
        </w:rPr>
        <w:t xml:space="preserve">Статья 62. Источники противопожарного водоснабжения</w:t>
      </w:r>
    </w:p>
    <w:p>
      <w:pPr>
        <w:pStyle w:val="0"/>
        <w:ind w:firstLine="540"/>
        <w:jc w:val="both"/>
      </w:pPr>
      <w:r>
        <w:rPr>
          <w:sz w:val="24"/>
        </w:rPr>
      </w:r>
    </w:p>
    <w:p>
      <w:pPr>
        <w:pStyle w:val="0"/>
        <w:ind w:firstLine="540"/>
        <w:jc w:val="both"/>
      </w:pPr>
      <w:r>
        <w:rPr>
          <w:sz w:val="24"/>
        </w:rPr>
        <w:t xml:space="preserve">1. Здания и сооружения, а также территории организаций и населенных пунктов должны иметь источники противопожарного водоснабжения для тушения пожаров.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В качестве источников противопожарного водоснабжения могут использоваться централизованные и (или) нецентрализованные системы водоснабжения, водные объекты, а также пожарные резервуары.</w:t>
      </w:r>
    </w:p>
    <w:p>
      <w:pPr>
        <w:pStyle w:val="0"/>
        <w:jc w:val="both"/>
      </w:pPr>
      <w:r>
        <w:rPr>
          <w:sz w:val="24"/>
        </w:rPr>
        <w:t xml:space="preserve">(часть 2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 Необходимость обеспечения противопожарного водоснабжения, устройства систем водоснабжения, водопроводных сетей, искусственных водоемов и пожарных резервуаров, использования водных объектов для противопожарных нужд определяется настоящим Федеральным законом, а требования к их устройству нормативными документами по пожарной безопасности. Запас воды водных объектов и пожарных резервуаров должен обеспечивать расчетные расходы воды на пожаротушение зданий и сооружений с учетом продолжительности тушения пожаров.</w:t>
      </w:r>
    </w:p>
    <w:p>
      <w:pPr>
        <w:pStyle w:val="0"/>
        <w:jc w:val="both"/>
      </w:pPr>
      <w:r>
        <w:rPr>
          <w:sz w:val="24"/>
        </w:rPr>
        <w:t xml:space="preserve">(часть 3 в ред. Федерального </w:t>
      </w:r>
      <w:r>
        <w:rPr>
          <w:sz w:val="24"/>
        </w:rPr>
        <w:t xml:space="preserve">закона</w:t>
      </w:r>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63. Утратила силу с 1 марта 2023 года. - Федеральный </w:t>
      </w:r>
      <w:r>
        <w:rPr>
          <w:sz w:val="24"/>
        </w:rPr>
        <w:t xml:space="preserve">закон</w:t>
      </w:r>
      <w:r>
        <w:rPr>
          <w:sz w:val="24"/>
        </w:rPr>
        <w:t xml:space="preserve"> от 14.07.2022 N 276-ФЗ.</w:t>
      </w:r>
    </w:p>
    <w:p>
      <w:pPr>
        <w:pStyle w:val="0"/>
        <w:ind w:firstLine="540"/>
        <w:jc w:val="both"/>
      </w:pPr>
      <w:r>
        <w:rPr>
          <w:sz w:val="24"/>
        </w:rPr>
      </w:r>
    </w:p>
    <w:bookmarkStart w:id="867" w:name="P867"/>
    <w:bookmarkEnd w:id="867"/>
    <w:p>
      <w:pPr>
        <w:pStyle w:val="2"/>
        <w:outlineLvl w:val="3"/>
        <w:ind w:firstLine="540"/>
        <w:jc w:val="both"/>
      </w:pPr>
      <w:r>
        <w:rPr>
          <w:sz w:val="24"/>
        </w:rPr>
        <w:t xml:space="preserve">Статья 64. Требования к декларации пожарной безопасности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29.07.2017 N 244-ФЗ)</w:t>
      </w:r>
    </w:p>
    <w:p>
      <w:pPr>
        <w:pStyle w:val="0"/>
        <w:ind w:firstLine="540"/>
        <w:jc w:val="both"/>
      </w:pPr>
      <w:r>
        <w:rPr>
          <w:sz w:val="24"/>
        </w:rPr>
      </w:r>
    </w:p>
    <w:bookmarkStart w:id="871" w:name="P871"/>
    <w:bookmarkEnd w:id="871"/>
    <w:p>
      <w:pPr>
        <w:pStyle w:val="0"/>
        <w:ind w:firstLine="540"/>
        <w:jc w:val="both"/>
      </w:pPr>
      <w:r>
        <w:rPr>
          <w:sz w:val="24"/>
        </w:rPr>
        <w:t xml:space="preserve">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w:t>
      </w:r>
      <w:hyperlink w:history="0" w:anchor="P539" w:tooltip="в) Ф1.3 - многоквартирные жилые дома, в том числе общежития квартирного типа;">
        <w:r>
          <w:rPr>
            <w:sz w:val="24"/>
            <w:color w:val="0000ff"/>
          </w:rPr>
          <w:t xml:space="preserve">Ф1.3</w:t>
        </w:r>
      </w:hyperlink>
      <w:r>
        <w:rPr>
          <w:sz w:val="24"/>
        </w:rPr>
        <w:t xml:space="preserve">, </w:t>
      </w:r>
      <w:hyperlink w:history="0" w:anchor="P541" w:tooltip="г) Ф1.4 - одноквартирные жилые дома, в том числе блокированные;">
        <w:r>
          <w:rPr>
            <w:sz w:val="24"/>
            <w:color w:val="0000ff"/>
          </w:rPr>
          <w:t xml:space="preserve">Ф1.4</w:t>
        </w:r>
      </w:hyperlink>
      <w:r>
        <w:rPr>
          <w:sz w:val="24"/>
        </w:rPr>
        <w:t xml:space="preserve">), а также в отношении зданий (частей зданий) класса функциональной пожарной опасности </w:t>
      </w:r>
      <w:hyperlink w:history="0" w:anchor="P535" w:tooltip="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
        <w:r>
          <w:rPr>
            <w:sz w:val="24"/>
            <w:color w:val="0000ff"/>
          </w:rPr>
          <w:t xml:space="preserve">Ф1.1</w:t>
        </w:r>
      </w:hyperlink>
      <w:r>
        <w:rPr>
          <w:sz w:val="24"/>
        </w:rPr>
        <w:t xml:space="preserve"> и предусматривает:</w:t>
      </w:r>
    </w:p>
    <w:p>
      <w:pPr>
        <w:pStyle w:val="0"/>
        <w:spacing w:before="240" w:line-rule="auto"/>
        <w:ind w:firstLine="540"/>
        <w:jc w:val="both"/>
      </w:pPr>
      <w:r>
        <w:rPr>
          <w:sz w:val="24"/>
        </w:rPr>
        <w:t xml:space="preserve">1) оценку пожарного риска (если проводится расчет риска);</w:t>
      </w:r>
    </w:p>
    <w:p>
      <w:pPr>
        <w:pStyle w:val="0"/>
        <w:spacing w:before="240" w:line-rule="auto"/>
        <w:ind w:firstLine="540"/>
        <w:jc w:val="both"/>
      </w:pPr>
      <w:r>
        <w:rPr>
          <w:sz w:val="24"/>
        </w:rPr>
        <w:t xml:space="preserve">2) оценку возможного ущерба имуществу третьих лиц от пожара (может быть проведена в рамках добровольного страхования ответственности за ущерб третьим лицам от воздействия пожара).</w:t>
      </w:r>
    </w:p>
    <w:bookmarkStart w:id="874" w:name="P874"/>
    <w:bookmarkEnd w:id="874"/>
    <w:p>
      <w:pPr>
        <w:pStyle w:val="0"/>
        <w:spacing w:before="240" w:line-rule="auto"/>
        <w:ind w:firstLine="540"/>
        <w:jc w:val="both"/>
      </w:pPr>
      <w:r>
        <w:rPr>
          <w:sz w:val="24"/>
        </w:rPr>
        <w:t xml:space="preserve">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w:t>
      </w:r>
      <w:hyperlink w:history="0" w:anchor="P535" w:tooltip="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
        <w:r>
          <w:rPr>
            <w:sz w:val="24"/>
            <w:color w:val="0000ff"/>
          </w:rPr>
          <w:t xml:space="preserve">Ф1.1</w:t>
        </w:r>
      </w:hyperlink>
      <w:r>
        <w:rPr>
          <w:sz w:val="24"/>
        </w:rPr>
        <w:t xml:space="preserve">, </w:t>
      </w:r>
      <w:hyperlink w:history="0" w:anchor="P539" w:tooltip="в) Ф1.3 - многоквартирные жилые дома, в том числе общежития квартирного типа;">
        <w:r>
          <w:rPr>
            <w:sz w:val="24"/>
            <w:color w:val="0000ff"/>
          </w:rPr>
          <w:t xml:space="preserve">Ф1.3</w:t>
        </w:r>
      </w:hyperlink>
      <w:r>
        <w:rPr>
          <w:sz w:val="24"/>
        </w:rPr>
        <w:t xml:space="preserve">, </w:t>
      </w:r>
      <w:hyperlink w:history="0" w:anchor="P541" w:tooltip="г) Ф1.4 - одноквартирные жилые дома, в том числе блокированные;">
        <w:r>
          <w:rPr>
            <w:sz w:val="24"/>
            <w:color w:val="0000ff"/>
          </w:rPr>
          <w:t xml:space="preserve">Ф1.4</w:t>
        </w:r>
      </w:hyperlink>
      <w:r>
        <w:rPr>
          <w:sz w:val="24"/>
        </w:rPr>
        <w:t xml:space="preserve">, </w:t>
      </w:r>
      <w:hyperlink w:history="0" w:anchor="P559" w:tooltip="а) Ф4.1 - здания общеобразовательных организаций, организаций дополнительного образования детей, профессиональных образовательных организаций;">
        <w:r>
          <w:rPr>
            <w:sz w:val="24"/>
            <w:color w:val="0000ff"/>
          </w:rPr>
          <w:t xml:space="preserve">Ф4.1</w:t>
        </w:r>
      </w:hyperlink>
      <w:r>
        <w:rPr>
          <w:sz w:val="24"/>
        </w:rPr>
        <w:t xml:space="preserve">, </w:t>
      </w:r>
      <w:hyperlink w:history="0" w:anchor="P561" w:tooltip="б) Ф4.2 - здания образовательных организаций высшего образования, организаций дополнительного профессионального образования;">
        <w:r>
          <w:rPr>
            <w:sz w:val="24"/>
            <w:color w:val="0000ff"/>
          </w:rPr>
          <w:t xml:space="preserve">Ф4.2</w:t>
        </w:r>
      </w:hyperlink>
      <w:r>
        <w:rPr>
          <w:sz w:val="24"/>
        </w:rPr>
        <w:t xml:space="preserve">),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составить декларацию пожарной безопасности в отношении этого объекта защиты, которая предусматривает в том числе сведения о системе противопожарной защиты этого объекта защиты.</w:t>
      </w:r>
    </w:p>
    <w:p>
      <w:pPr>
        <w:pStyle w:val="0"/>
        <w:jc w:val="both"/>
      </w:pPr>
      <w:r>
        <w:rPr>
          <w:sz w:val="24"/>
        </w:rPr>
        <w:t xml:space="preserve">(часть 2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 Уточненные декларации пожарной безопасности, составленные в соответствии с </w:t>
      </w:r>
      <w:hyperlink w:history="0" w:anchor="P871" w:tooltip="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
        <w:r>
          <w:rPr>
            <w:sz w:val="24"/>
            <w:color w:val="0000ff"/>
          </w:rPr>
          <w:t xml:space="preserve">частями 1</w:t>
        </w:r>
      </w:hyperlink>
      <w:r>
        <w:rPr>
          <w:sz w:val="24"/>
        </w:rPr>
        <w:t xml:space="preserve"> и </w:t>
      </w:r>
      <w:hyperlink w:history="0" w:anchor="P874" w:tooltip="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Ф1.1, Ф1.3, Ф1.4, Ф4.1, Ф4.2),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
        <w:r>
          <w:rPr>
            <w:sz w:val="24"/>
            <w:color w:val="0000ff"/>
          </w:rPr>
          <w:t xml:space="preserve">2</w:t>
        </w:r>
      </w:hyperlink>
      <w:r>
        <w:rPr>
          <w:sz w:val="24"/>
        </w:rPr>
        <w:t xml:space="preserve"> настоящей статьи, представляются в случае изменения класса функциональной пожарной опасности объекта защиты либо проведения капитального ремонта, реконструкции или технического перевооружения объекта защиты в течение года со дня выдачи разрешения на ввод объекта в эксплуатацию или завершения соответствующих работ.</w:t>
      </w:r>
    </w:p>
    <w:p>
      <w:pPr>
        <w:pStyle w:val="0"/>
        <w:jc w:val="both"/>
      </w:pPr>
      <w:r>
        <w:rPr>
          <w:sz w:val="24"/>
        </w:rPr>
        <w:t xml:space="preserve">(часть 3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4. При составлении декларации пожарной безопасности в соответствии с </w:t>
      </w:r>
      <w:hyperlink w:history="0" w:anchor="P871" w:tooltip="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
        <w:r>
          <w:rPr>
            <w:sz w:val="24"/>
            <w:color w:val="0000ff"/>
          </w:rPr>
          <w:t xml:space="preserve">частями 1</w:t>
        </w:r>
      </w:hyperlink>
      <w:r>
        <w:rPr>
          <w:sz w:val="24"/>
        </w:rPr>
        <w:t xml:space="preserve"> и </w:t>
      </w:r>
      <w:hyperlink w:history="0" w:anchor="P874" w:tooltip="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Ф1.1, Ф1.3, Ф1.4, Ф4.1, Ф4.2),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
        <w:r>
          <w:rPr>
            <w:sz w:val="24"/>
            <w:color w:val="0000ff"/>
          </w:rPr>
          <w:t xml:space="preserve">2</w:t>
        </w:r>
      </w:hyperlink>
      <w:r>
        <w:rPr>
          <w:sz w:val="24"/>
        </w:rPr>
        <w:t xml:space="preserve"> настоящей статьи в отношении объектов защиты, для которых установлены требования технических регламентов, принятых в соответствии с Федеральным </w:t>
      </w:r>
      <w:r>
        <w:rPr>
          <w:sz w:val="24"/>
        </w:rPr>
        <w:t xml:space="preserve">законом</w:t>
      </w:r>
      <w:r>
        <w:rPr>
          <w:sz w:val="24"/>
        </w:rPr>
        <w:t xml:space="preserve"> "О техническом регулировании", и нормативных документов по пожарной безопасности, в декларации указывается перечень статей (частей, пунктов) указанных документов, требования которых установлены и выполнены для соответствующего объекта защиты.</w:t>
      </w:r>
    </w:p>
    <w:p>
      <w:pPr>
        <w:pStyle w:val="0"/>
        <w:spacing w:before="240" w:line-rule="auto"/>
        <w:ind w:firstLine="540"/>
        <w:jc w:val="both"/>
      </w:pPr>
      <w:r>
        <w:rPr>
          <w:sz w:val="24"/>
        </w:rPr>
        <w:t xml:space="preserve">5. Лицо, представившее декларацию пожарной безопасности, составленную в соответствии с </w:t>
      </w:r>
      <w:hyperlink w:history="0" w:anchor="P871" w:tooltip="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
        <w:r>
          <w:rPr>
            <w:sz w:val="24"/>
            <w:color w:val="0000ff"/>
          </w:rPr>
          <w:t xml:space="preserve">частями 1</w:t>
        </w:r>
      </w:hyperlink>
      <w:r>
        <w:rPr>
          <w:sz w:val="24"/>
        </w:rPr>
        <w:t xml:space="preserve"> и </w:t>
      </w:r>
      <w:hyperlink w:history="0" w:anchor="P874" w:tooltip="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Ф1.1, Ф1.3, Ф1.4, Ф4.1, Ф4.2),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
        <w:r>
          <w:rPr>
            <w:sz w:val="24"/>
            <w:color w:val="0000ff"/>
          </w:rPr>
          <w:t xml:space="preserve">2</w:t>
        </w:r>
      </w:hyperlink>
      <w:r>
        <w:rPr>
          <w:sz w:val="24"/>
        </w:rPr>
        <w:t xml:space="preserve"> настоящей статьи, несет ответственность за полноту и достоверность содержащихся в ней сведений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Форма</w:t>
      </w:r>
      <w:r>
        <w:rPr>
          <w:sz w:val="24"/>
        </w:rPr>
        <w:t xml:space="preserve"> и </w:t>
      </w:r>
      <w:r>
        <w:rPr>
          <w:sz w:val="24"/>
        </w:rPr>
        <w:t xml:space="preserve">порядок</w:t>
      </w:r>
      <w:r>
        <w:rPr>
          <w:sz w:val="24"/>
        </w:rPr>
        <w:t xml:space="preserve"> регистрации декларации пожарной безопасности, составленной в соответствии с </w:t>
      </w:r>
      <w:hyperlink w:history="0" w:anchor="P871" w:tooltip="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
        <w:r>
          <w:rPr>
            <w:sz w:val="24"/>
            <w:color w:val="0000ff"/>
          </w:rPr>
          <w:t xml:space="preserve">частями 1</w:t>
        </w:r>
      </w:hyperlink>
      <w:r>
        <w:rPr>
          <w:sz w:val="24"/>
        </w:rPr>
        <w:t xml:space="preserve"> и </w:t>
      </w:r>
      <w:hyperlink w:history="0" w:anchor="P874" w:tooltip="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Ф1.1, Ф1.3, Ф1.4, Ф4.1, Ф4.2),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
        <w:r>
          <w:rPr>
            <w:sz w:val="24"/>
            <w:color w:val="0000ff"/>
          </w:rPr>
          <w:t xml:space="preserve">2</w:t>
        </w:r>
      </w:hyperlink>
      <w:r>
        <w:rPr>
          <w:sz w:val="24"/>
        </w:rPr>
        <w:t xml:space="preserve"> настоящей статьи, утверждаются федеральным органом исполнительной власти, уполномоченным на решение задач в области пожарной безопасности.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7 ст. 64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вправе представить декларацию пожарной безопасности в форме электронного документа, подписанного усиленной квалифицированной электронной подписью.</w:t>
      </w:r>
    </w:p>
    <w:p>
      <w:pPr>
        <w:pStyle w:val="0"/>
        <w:jc w:val="both"/>
      </w:pPr>
      <w:r>
        <w:rPr>
          <w:sz w:val="24"/>
        </w:rPr>
        <w:t xml:space="preserve">(часть 7 введена Федеральным </w:t>
      </w:r>
      <w:r>
        <w:rPr>
          <w:sz w:val="24"/>
        </w:rPr>
        <w:t xml:space="preserve">законом</w:t>
      </w:r>
      <w:r>
        <w:rPr>
          <w:sz w:val="24"/>
        </w:rPr>
        <w:t xml:space="preserve"> от 14.07.2022 N 276-ФЗ)</w:t>
      </w:r>
    </w:p>
    <w:p>
      <w:pPr>
        <w:pStyle w:val="0"/>
        <w:ind w:firstLine="540"/>
        <w:jc w:val="both"/>
      </w:pPr>
      <w:r>
        <w:rPr>
          <w:sz w:val="24"/>
        </w:rPr>
      </w:r>
    </w:p>
    <w:p>
      <w:pPr>
        <w:pStyle w:val="2"/>
        <w:outlineLvl w:val="1"/>
        <w:jc w:val="center"/>
      </w:pPr>
      <w:r>
        <w:rPr>
          <w:sz w:val="24"/>
        </w:rPr>
        <w:t xml:space="preserve">Раздел II. ТРЕБОВАНИЯ ПОЖАРНОЙ БЕЗОПАСНОСТИ ПРИ ПЛАНИРОВКЕ</w:t>
      </w:r>
    </w:p>
    <w:p>
      <w:pPr>
        <w:pStyle w:val="2"/>
        <w:jc w:val="center"/>
      </w:pPr>
      <w:r>
        <w:rPr>
          <w:sz w:val="24"/>
        </w:rPr>
        <w:t xml:space="preserve">ТЕРРИТОРИЙ НАСЕЛЕННЫХ ПУНКТОВ</w:t>
      </w:r>
    </w:p>
    <w:p>
      <w:pPr>
        <w:pStyle w:val="0"/>
        <w:jc w:val="center"/>
      </w:pPr>
      <w:r>
        <w:rPr>
          <w:sz w:val="24"/>
        </w:rPr>
        <w:t xml:space="preserve">(в ред. Федерального </w:t>
      </w:r>
      <w:r>
        <w:rPr>
          <w:sz w:val="24"/>
        </w:rPr>
        <w:t xml:space="preserve">закона</w:t>
      </w:r>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15. ТРЕБОВАНИЯ ПОЖАРНОЙ БЕЗОПАСНОСТИ</w:t>
      </w:r>
    </w:p>
    <w:p>
      <w:pPr>
        <w:pStyle w:val="2"/>
        <w:jc w:val="center"/>
      </w:pPr>
      <w:r>
        <w:rPr>
          <w:sz w:val="24"/>
        </w:rPr>
        <w:t xml:space="preserve">К РАЗМЕЩЕНИЮ ВЗРЫВОПОЖАРООПАСНЫХ ОБЪЕКТОВ И НАРУЖНОМУ</w:t>
      </w:r>
    </w:p>
    <w:p>
      <w:pPr>
        <w:pStyle w:val="2"/>
        <w:jc w:val="center"/>
      </w:pPr>
      <w:r>
        <w:rPr>
          <w:sz w:val="24"/>
        </w:rPr>
        <w:t xml:space="preserve">ПРОТИВОПОЖАРНОМУ ВОДОСНАБЖЕНИЮ</w:t>
      </w:r>
    </w:p>
    <w:p>
      <w:pPr>
        <w:pStyle w:val="0"/>
        <w:jc w:val="center"/>
      </w:pPr>
      <w:r>
        <w:rPr>
          <w:sz w:val="24"/>
        </w:rPr>
        <w:t xml:space="preserve">(в ред. Федерального </w:t>
      </w:r>
      <w:r>
        <w:rPr>
          <w:sz w:val="24"/>
        </w:rPr>
        <w:t xml:space="preserve">закона</w:t>
      </w:r>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65. Утратила силу. - Федеральный </w:t>
      </w:r>
      <w:r>
        <w:rPr>
          <w:sz w:val="24"/>
        </w:rPr>
        <w:t xml:space="preserve">закон</w:t>
      </w:r>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66. Размещение взрывопожароопасных объектов</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ind w:firstLine="540"/>
        <w:jc w:val="both"/>
      </w:pPr>
      <w:r>
        <w:rPr>
          <w:sz w:val="24"/>
        </w:rPr>
      </w:r>
    </w:p>
    <w:p>
      <w:pPr>
        <w:pStyle w:val="0"/>
        <w:ind w:firstLine="540"/>
        <w:jc w:val="both"/>
      </w:pPr>
      <w:r>
        <w:rPr>
          <w:sz w:val="24"/>
        </w:rPr>
        <w:t xml:space="preserve">1. 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 факторов пожара и (или) взрыва. Иные производственные объекты, на территориях которых расположены здания и сооружения категорий А,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настоящим Федеральным </w:t>
      </w:r>
      <w:r>
        <w:rPr>
          <w:sz w:val="24"/>
        </w:rPr>
        <w:t xml:space="preserve">законом</w:t>
      </w:r>
      <w:r>
        <w:rPr>
          <w:sz w:val="24"/>
        </w:rPr>
        <w:t xml:space="preserve">. При размещении взрывопожароопасных объектов в границах населенных пунктов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w:t>
      </w:r>
    </w:p>
    <w:p>
      <w:pPr>
        <w:pStyle w:val="0"/>
        <w:jc w:val="both"/>
      </w:pPr>
      <w:r>
        <w:rPr>
          <w:sz w:val="24"/>
        </w:rPr>
        <w:t xml:space="preserve">(в ред. Федеральных законов от 10.07.2012 </w:t>
      </w:r>
      <w:r>
        <w:rPr>
          <w:sz w:val="24"/>
        </w:rPr>
        <w:t xml:space="preserve">N 117-ФЗ</w:t>
      </w:r>
      <w:r>
        <w:rPr>
          <w:sz w:val="24"/>
        </w:rPr>
        <w:t xml:space="preserve">, от 02.07.2013 </w:t>
      </w:r>
      <w:r>
        <w:rPr>
          <w:sz w:val="24"/>
        </w:rPr>
        <w:t xml:space="preserve">N 185-ФЗ</w:t>
      </w:r>
      <w:r>
        <w:rPr>
          <w:sz w:val="24"/>
        </w:rPr>
        <w:t xml:space="preserve">, от 29.07.2017 </w:t>
      </w:r>
      <w:r>
        <w:rPr>
          <w:sz w:val="24"/>
        </w:rPr>
        <w:t xml:space="preserve">N 244-ФЗ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2. 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метров от них, если техническими регламентами, принятыми в соответствии с Федеральным </w:t>
      </w:r>
      <w:r>
        <w:rPr>
          <w:sz w:val="24"/>
        </w:rPr>
        <w:t xml:space="preserve">законом</w:t>
      </w:r>
      <w:r>
        <w:rPr>
          <w:sz w:val="24"/>
        </w:rPr>
        <w:t xml:space="preserve"> "О техническом регулировании", не установлены большие расстояния от указанных сооружений. Допускается размещение 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железных дорог.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железных дорог, на расстоянии более 300 метров от них. На складах, 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железных дорог.</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29.07.2017 N 244-ФЗ.</w:t>
      </w:r>
    </w:p>
    <w:p>
      <w:pPr>
        <w:pStyle w:val="0"/>
        <w:spacing w:before="240" w:line-rule="auto"/>
        <w:ind w:firstLine="540"/>
        <w:jc w:val="both"/>
      </w:pPr>
      <w:r>
        <w:rPr>
          <w:sz w:val="24"/>
        </w:rPr>
        <w:t xml:space="preserve">5. В случае невозможности устранения воздействия на людей и жилые здания опасных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67. Утратила силу. - Федеральный </w:t>
      </w:r>
      <w:r>
        <w:rPr>
          <w:sz w:val="24"/>
        </w:rPr>
        <w:t xml:space="preserve">закон</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68. Наружное противопожарное водоснабжение</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ind w:firstLine="540"/>
        <w:jc w:val="both"/>
      </w:pPr>
      <w:r>
        <w:rPr>
          <w:sz w:val="24"/>
        </w:rPr>
      </w:r>
    </w:p>
    <w:p>
      <w:pPr>
        <w:pStyle w:val="0"/>
        <w:ind w:firstLine="540"/>
        <w:jc w:val="both"/>
      </w:pPr>
      <w:r>
        <w:rPr>
          <w:sz w:val="24"/>
        </w:rPr>
        <w:t xml:space="preserve">1. Территории населенных пунктов, а также находящиеся на них здания и сооружения должны быть обеспечены источниками наружного противопожарного водоснабжения.</w:t>
      </w:r>
    </w:p>
    <w:p>
      <w:pPr>
        <w:pStyle w:val="0"/>
        <w:jc w:val="both"/>
      </w:pPr>
      <w:r>
        <w:rPr>
          <w:sz w:val="24"/>
        </w:rPr>
        <w:t xml:space="preserve">(часть 1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К наружному противопожарному водоснабжению относятся:</w:t>
      </w:r>
    </w:p>
    <w:p>
      <w:pPr>
        <w:pStyle w:val="0"/>
        <w:spacing w:before="240" w:line-rule="auto"/>
        <w:ind w:firstLine="540"/>
        <w:jc w:val="both"/>
      </w:pPr>
      <w:r>
        <w:rPr>
          <w:sz w:val="24"/>
        </w:rPr>
        <w:t xml:space="preserve">1) централизованные и (или) нецентрализованные системы водоснабжения с пожарными гидрантами, установленными на водопроводной сети (наружный противопожарный водопровод);</w:t>
      </w:r>
    </w:p>
    <w:p>
      <w:pPr>
        <w:pStyle w:val="0"/>
        <w:spacing w:before="240" w:line-rule="auto"/>
        <w:ind w:firstLine="540"/>
        <w:jc w:val="both"/>
      </w:pPr>
      <w:r>
        <w:rPr>
          <w:sz w:val="24"/>
        </w:rPr>
        <w:t xml:space="preserve">2) водные объекты, используемые в целях пожаротушения в соответствии с законодательством Российской Федерации;</w:t>
      </w:r>
    </w:p>
    <w:p>
      <w:pPr>
        <w:pStyle w:val="0"/>
        <w:spacing w:before="240" w:line-rule="auto"/>
        <w:ind w:firstLine="540"/>
        <w:jc w:val="both"/>
      </w:pPr>
      <w:r>
        <w:rPr>
          <w:sz w:val="24"/>
        </w:rPr>
        <w:t xml:space="preserve">3) пожарные резервуары.</w:t>
      </w:r>
    </w:p>
    <w:p>
      <w:pPr>
        <w:pStyle w:val="0"/>
        <w:jc w:val="both"/>
      </w:pPr>
      <w:r>
        <w:rPr>
          <w:sz w:val="24"/>
        </w:rPr>
        <w:t xml:space="preserve">(часть 2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 Территории населенных пунктов должны быть оборудованы наружным противопожарным водопроводом, обеспечивающим требуемый расход воды на пожаротушение зданий и сооружений. При этом расстановка пожарных гидрантов на водопроводной сети должна обеспечивать пожаротушение любого обслуживаемого данной сетью здания и сооружения.</w:t>
      </w:r>
    </w:p>
    <w:p>
      <w:pPr>
        <w:pStyle w:val="0"/>
        <w:jc w:val="both"/>
      </w:pPr>
      <w:r>
        <w:rPr>
          <w:sz w:val="24"/>
        </w:rPr>
        <w:t xml:space="preserve">(часть 3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4. Допускается предусматривать наружное противопожарное водоснабжение от водных объектов и (или) пожарных резервуаров для населенных пунктов с числом жителей до 5000 человек; отдельно стоящих зданий классов функциональной пожарной опасности Ф1.1, Ф1.2, Ф2, Ф3, Ф4 объемом до 1000 кубических метров (либо нескольких зданий и (или) сооружений того же суммарного объема), расположенных в населенных пунктах, не имеющих кольцевого наружного противопожарного водопровода; зданий и сооружений класса функциональной пожарной опасности Ф5 с производствами категорий В, Г и Д по пожаровзрывоопасности и пожарной опасности при расходе воды на наружное пожаротушение 15 литров в секунду; складов грубых кормов объемом до 1000 кубических метров (либо нескольких зданий и (или) сооружений того же суммарного объема); складов минеральных удобрений объемом до 5000 кубических метров (либо нескольких зданий и (или) сооружений того же суммарного объема); зданий радиотелевизионных передающих станций, холодильников и хранилищ овощей и фруктов.</w:t>
      </w:r>
    </w:p>
    <w:p>
      <w:pPr>
        <w:pStyle w:val="0"/>
        <w:jc w:val="both"/>
      </w:pPr>
      <w:r>
        <w:rPr>
          <w:sz w:val="24"/>
        </w:rPr>
        <w:t xml:space="preserve">(часть 4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5. Допускается не предусматривать противопожарное водоснабжение для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Ф1.2, Ф1.3, Ф1.4, Ф2.3, Ф2.4, Ф3 (кроме Ф3.4), в которых одновременно могут находиться до 50 человек и объем которых не более 1000 кубических метров.</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6 - 18. Утратили силу. - Федеральный </w:t>
      </w:r>
      <w:r>
        <w:rPr>
          <w:sz w:val="24"/>
        </w:rPr>
        <w:t xml:space="preserve">закон</w:t>
      </w:r>
      <w:r>
        <w:rPr>
          <w:sz w:val="24"/>
        </w:rPr>
        <w:t xml:space="preserve"> от 10.07.2012 N 117-ФЗ.</w:t>
      </w:r>
    </w:p>
    <w:p>
      <w:pPr>
        <w:pStyle w:val="0"/>
        <w:ind w:firstLine="540"/>
        <w:jc w:val="both"/>
      </w:pPr>
      <w:r>
        <w:rPr>
          <w:sz w:val="24"/>
        </w:rPr>
      </w:r>
    </w:p>
    <w:p>
      <w:pPr>
        <w:pStyle w:val="2"/>
        <w:outlineLvl w:val="2"/>
        <w:jc w:val="center"/>
      </w:pPr>
      <w:r>
        <w:rPr>
          <w:sz w:val="24"/>
        </w:rPr>
        <w:t xml:space="preserve">Глава 16. ТРЕБОВАНИЯ К ПРОТИВОПОЖАРНЫМ РАССТОЯНИЯМ</w:t>
      </w:r>
    </w:p>
    <w:p>
      <w:pPr>
        <w:pStyle w:val="2"/>
        <w:jc w:val="center"/>
      </w:pPr>
      <w:r>
        <w:rPr>
          <w:sz w:val="24"/>
        </w:rPr>
        <w:t xml:space="preserve">МЕЖДУ ЗДАНИЯМИ И СООРУЖЕНИЯМИ</w:t>
      </w:r>
    </w:p>
    <w:p>
      <w:pPr>
        <w:pStyle w:val="0"/>
        <w:jc w:val="center"/>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69. Противопожарные расстояния между зданиями, сооружениями и лесными насаждениями</w:t>
      </w:r>
    </w:p>
    <w:p>
      <w:pPr>
        <w:pStyle w:val="0"/>
        <w:jc w:val="both"/>
      </w:pPr>
      <w:r>
        <w:rPr>
          <w:sz w:val="24"/>
        </w:rPr>
        <w:t xml:space="preserve">(в ред. Федеральных законов от 27.12.2018 </w:t>
      </w:r>
      <w:r>
        <w:rPr>
          <w:sz w:val="24"/>
        </w:rPr>
        <w:t xml:space="preserve">N 538-ФЗ</w:t>
      </w:r>
      <w:r>
        <w:rPr>
          <w:sz w:val="24"/>
        </w:rPr>
        <w:t xml:space="preserve">, от 14.07.2022 </w:t>
      </w:r>
      <w:r>
        <w:rPr>
          <w:sz w:val="24"/>
        </w:rPr>
        <w:t xml:space="preserve">N 276-ФЗ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w:t>
      </w:r>
      <w:hyperlink w:history="0" w:anchor="P2260" w:tooltip="Таблица 12">
        <w:r>
          <w:rPr>
            <w:sz w:val="24"/>
            <w:color w:val="0000ff"/>
          </w:rPr>
          <w:t xml:space="preserve">таблицах 12</w:t>
        </w:r>
      </w:hyperlink>
      <w:r>
        <w:rPr>
          <w:sz w:val="24"/>
        </w:rPr>
        <w:t xml:space="preserve">, </w:t>
      </w:r>
      <w:hyperlink w:history="0" w:anchor="P2442" w:tooltip="Таблица 15">
        <w:r>
          <w:rPr>
            <w:sz w:val="24"/>
            <w:color w:val="0000ff"/>
          </w:rPr>
          <w:t xml:space="preserve">15</w:t>
        </w:r>
      </w:hyperlink>
      <w:r>
        <w:rPr>
          <w:sz w:val="24"/>
        </w:rPr>
        <w:t xml:space="preserve">, </w:t>
      </w:r>
      <w:hyperlink w:history="0" w:anchor="P2526" w:tooltip="Таблица 17">
        <w:r>
          <w:rPr>
            <w:sz w:val="24"/>
            <w:color w:val="0000ff"/>
          </w:rPr>
          <w:t xml:space="preserve">17</w:t>
        </w:r>
      </w:hyperlink>
      <w:r>
        <w:rPr>
          <w:sz w:val="24"/>
        </w:rPr>
        <w:t xml:space="preserve">, </w:t>
      </w:r>
      <w:hyperlink w:history="0" w:anchor="P2621" w:tooltip="Таблица 18">
        <w:r>
          <w:rPr>
            <w:sz w:val="24"/>
            <w:color w:val="0000ff"/>
          </w:rPr>
          <w:t xml:space="preserve">18</w:t>
        </w:r>
      </w:hyperlink>
      <w:r>
        <w:rPr>
          <w:sz w:val="24"/>
        </w:rPr>
        <w:t xml:space="preserve">, </w:t>
      </w:r>
      <w:hyperlink w:history="0" w:anchor="P2704" w:tooltip="Таблица 19">
        <w:r>
          <w:rPr>
            <w:sz w:val="24"/>
            <w:color w:val="0000ff"/>
          </w:rPr>
          <w:t xml:space="preserve">19</w:t>
        </w:r>
      </w:hyperlink>
      <w:r>
        <w:rPr>
          <w:sz w:val="24"/>
        </w:rPr>
        <w:t xml:space="preserve"> и </w:t>
      </w:r>
      <w:hyperlink w:history="0" w:anchor="P2814" w:tooltip="Таблица 20">
        <w:r>
          <w:rPr>
            <w:sz w:val="24"/>
            <w:color w:val="0000ff"/>
          </w:rPr>
          <w:t xml:space="preserve">20</w:t>
        </w:r>
      </w:hyperlink>
      <w:r>
        <w:rPr>
          <w:sz w:val="24"/>
        </w:rPr>
        <w:t xml:space="preserve"> приложения к настоящему Федеральному закону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w:t>
      </w:r>
      <w:hyperlink w:history="0" w:anchor="P630" w:tooltip="Статья 37. Классификация противопожарных преград">
        <w:r>
          <w:rPr>
            <w:sz w:val="24"/>
            <w:color w:val="0000ff"/>
          </w:rPr>
          <w:t xml:space="preserve">статьей 37</w:t>
        </w:r>
      </w:hyperlink>
      <w:r>
        <w:rPr>
          <w:sz w:val="24"/>
        </w:rPr>
        <w:t xml:space="preserve"> настоящего Федерального закона. При этом расчетное значение пожарного риска не должно превышать допустимое значение пожарного риска, установленное </w:t>
      </w:r>
      <w:hyperlink w:history="0" w:anchor="P1343" w:tooltip="Статья 93. Нормативные значения пожарного риска для производственных объектов">
        <w:r>
          <w:rPr>
            <w:sz w:val="24"/>
            <w:color w:val="0000ff"/>
          </w:rPr>
          <w:t xml:space="preserve">статьей 93</w:t>
        </w:r>
      </w:hyperlink>
      <w:r>
        <w:rPr>
          <w:sz w:val="24"/>
        </w:rPr>
        <w:t xml:space="preserve"> настоящего Федерального закона.</w:t>
      </w:r>
    </w:p>
    <w:p>
      <w:pPr>
        <w:pStyle w:val="0"/>
        <w:jc w:val="both"/>
      </w:pPr>
      <w:r>
        <w:rPr>
          <w:sz w:val="24"/>
        </w:rPr>
        <w:t xml:space="preserve">(часть 1 в ред. Федерального </w:t>
      </w:r>
      <w:r>
        <w:rPr>
          <w:sz w:val="24"/>
        </w:rPr>
        <w:t xml:space="preserve">закона</w:t>
      </w:r>
      <w:r>
        <w:rPr>
          <w:sz w:val="24"/>
        </w:rPr>
        <w:t xml:space="preserve"> от 29.07.2017 N 244-ФЗ)</w:t>
      </w:r>
    </w:p>
    <w:p>
      <w:pPr>
        <w:pStyle w:val="0"/>
        <w:spacing w:before="240" w:line-rule="auto"/>
        <w:ind w:firstLine="540"/>
        <w:jc w:val="both"/>
      </w:pPr>
      <w:r>
        <w:rPr>
          <w:sz w:val="24"/>
        </w:rPr>
        <w:t xml:space="preserve">2. Противопожарные расстояния должны обеспечивать нераспространение пожара от лесных насаждений до зданий и сооружений.</w:t>
      </w:r>
    </w:p>
    <w:p>
      <w:pPr>
        <w:pStyle w:val="0"/>
        <w:jc w:val="both"/>
      </w:pPr>
      <w:r>
        <w:rPr>
          <w:sz w:val="24"/>
        </w:rPr>
        <w:t xml:space="preserve">(часть 2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 Противопожарные расстояния от критически важных для национальной безопасности Российской Федерации объектов до границ лесных насаждений должны составлять не менее 100 метров, если иное не установлено законодательством Российской Федерации.</w:t>
      </w:r>
    </w:p>
    <w:p>
      <w:pPr>
        <w:pStyle w:val="0"/>
        <w:jc w:val="both"/>
      </w:pPr>
      <w:r>
        <w:rPr>
          <w:sz w:val="24"/>
        </w:rPr>
        <w:t xml:space="preserve">(в ред. Федеральных законов от 27.12.2018 </w:t>
      </w:r>
      <w:r>
        <w:rPr>
          <w:sz w:val="24"/>
        </w:rPr>
        <w:t xml:space="preserve">N 538-ФЗ</w:t>
      </w:r>
      <w:r>
        <w:rPr>
          <w:sz w:val="24"/>
        </w:rPr>
        <w:t xml:space="preserve">, от 14.07.2022 </w:t>
      </w:r>
      <w:r>
        <w:rPr>
          <w:sz w:val="24"/>
        </w:rPr>
        <w:t xml:space="preserve">N 276-ФЗ</w:t>
      </w:r>
      <w:r>
        <w:rPr>
          <w:sz w:val="24"/>
        </w:rPr>
        <w:t xml:space="preserve">)</w:t>
      </w:r>
    </w:p>
    <w:p>
      <w:pPr>
        <w:pStyle w:val="0"/>
        <w:ind w:firstLine="540"/>
        <w:jc w:val="both"/>
      </w:pPr>
      <w:r>
        <w:rPr>
          <w:sz w:val="24"/>
        </w:rPr>
      </w:r>
    </w:p>
    <w:p>
      <w:pPr>
        <w:pStyle w:val="2"/>
        <w:outlineLvl w:val="3"/>
        <w:ind w:firstLine="540"/>
        <w:jc w:val="both"/>
      </w:pPr>
      <w:r>
        <w:rPr>
          <w:sz w:val="24"/>
        </w:rPr>
        <w:t xml:space="preserve">Статья 70. Противопожарные расстояния от зданий и сооружений складов нефти и нефтепродуктов до граничащих с ними объектов защиты</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Противопожарные расстояния от зданий и сооружений категорий А,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w:t>
      </w:r>
      <w:hyperlink w:history="0" w:anchor="P2262" w:tooltip="Противопожарные расстояния от зданий и сооружений">
        <w:r>
          <w:rPr>
            <w:sz w:val="24"/>
            <w:color w:val="0000ff"/>
          </w:rPr>
          <w:t xml:space="preserve">таблицей 12</w:t>
        </w:r>
      </w:hyperlink>
      <w:r>
        <w:rPr>
          <w:sz w:val="24"/>
        </w:rPr>
        <w:t xml:space="preserve"> приложения к настоящему Федеральному закону.</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Расстояния, указанные в </w:t>
      </w:r>
      <w:hyperlink w:history="0" w:anchor="P2262" w:tooltip="Противопожарные расстояния от зданий и сооружений">
        <w:r>
          <w:rPr>
            <w:sz w:val="24"/>
            <w:color w:val="0000ff"/>
          </w:rPr>
          <w:t xml:space="preserve">таблице 12</w:t>
        </w:r>
      </w:hyperlink>
      <w:r>
        <w:rPr>
          <w:sz w:val="24"/>
        </w:rPr>
        <w:t xml:space="preserve"> приложения к настоящему Федеральному закону в скобках, следует принимать для складов II категории общей вместимостью более 50 000 кубических метров. Расстояния, указанные в </w:t>
      </w:r>
      <w:hyperlink w:history="0" w:anchor="P2262" w:tooltip="Противопожарные расстояния от зданий и сооружений">
        <w:r>
          <w:rPr>
            <w:sz w:val="24"/>
            <w:color w:val="0000ff"/>
          </w:rPr>
          <w:t xml:space="preserve">таблице 12</w:t>
        </w:r>
      </w:hyperlink>
      <w:r>
        <w:rPr>
          <w:sz w:val="24"/>
        </w:rPr>
        <w:t xml:space="preserve"> приложения к настоящему Федеральному закону, определяются:</w:t>
      </w:r>
    </w:p>
    <w:p>
      <w:pPr>
        <w:pStyle w:val="0"/>
        <w:spacing w:before="240" w:line-rule="auto"/>
        <w:ind w:firstLine="540"/>
        <w:jc w:val="both"/>
      </w:pPr>
      <w:r>
        <w:rPr>
          <w:sz w:val="24"/>
        </w:rPr>
        <w:t xml:space="preserve">1) между зданиями и сооружениями - как расстояние в свету между наружными стенами или конструкциями зданий и сооружений;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от сливоналивных устройств - от оси железнодорожного пути со сливоналивными эстакадами;</w:t>
      </w:r>
    </w:p>
    <w:p>
      <w:pPr>
        <w:pStyle w:val="0"/>
        <w:spacing w:before="240" w:line-rule="auto"/>
        <w:ind w:firstLine="540"/>
        <w:jc w:val="both"/>
      </w:pPr>
      <w:r>
        <w:rPr>
          <w:sz w:val="24"/>
        </w:rPr>
        <w:t xml:space="preserve">3) от площадок (открытых и под навесами) для сливоналивных устройств автомобильных цистерн, для насосов, тары - от границ этих площадок;</w:t>
      </w:r>
    </w:p>
    <w:p>
      <w:pPr>
        <w:pStyle w:val="0"/>
        <w:spacing w:before="240" w:line-rule="auto"/>
        <w:ind w:firstLine="540"/>
        <w:jc w:val="both"/>
      </w:pPr>
      <w:r>
        <w:rPr>
          <w:sz w:val="24"/>
        </w:rPr>
        <w:t xml:space="preserve">4) от технологических эстакад и трубопроводов - от крайнего трубопровода;</w:t>
      </w:r>
    </w:p>
    <w:p>
      <w:pPr>
        <w:pStyle w:val="0"/>
        <w:spacing w:before="240" w:line-rule="auto"/>
        <w:ind w:firstLine="540"/>
        <w:jc w:val="both"/>
      </w:pPr>
      <w:r>
        <w:rPr>
          <w:sz w:val="24"/>
        </w:rPr>
        <w:t xml:space="preserve">5) от факельных установок - от ствола факела.</w:t>
      </w:r>
    </w:p>
    <w:p>
      <w:pPr>
        <w:pStyle w:val="0"/>
        <w:spacing w:before="240" w:line-rule="auto"/>
        <w:ind w:firstLine="540"/>
        <w:jc w:val="both"/>
      </w:pPr>
      <w:r>
        <w:rPr>
          <w:sz w:val="24"/>
        </w:rPr>
        <w:t xml:space="preserve">3. 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w:t>
      </w:r>
      <w:hyperlink w:history="0" w:anchor="P2262" w:tooltip="Противопожарные расстояния от зданий и сооружений">
        <w:r>
          <w:rPr>
            <w:sz w:val="24"/>
            <w:color w:val="0000ff"/>
          </w:rPr>
          <w:t xml:space="preserve">таблице 12</w:t>
        </w:r>
      </w:hyperlink>
      <w:r>
        <w:rPr>
          <w:sz w:val="24"/>
        </w:rPr>
        <w:t xml:space="preserve"> приложения к настоящему Федеральному закону, при условии засыпки открытого залегания торфа слоем земли толщиной не менее 0,5 метра в пределах половины расстояния от зданий и сооружений складов нефти и нефтепродуктов.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4. Расстояние от складов для хранения нефти и нефтепродуктов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со 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pPr>
        <w:pStyle w:val="0"/>
        <w:jc w:val="both"/>
      </w:pPr>
      <w:r>
        <w:rPr>
          <w:sz w:val="24"/>
        </w:rPr>
        <w:t xml:space="preserve">(в ред. Федеральных законов от 10.07.2012 </w:t>
      </w:r>
      <w:r>
        <w:rPr>
          <w:sz w:val="24"/>
        </w:rPr>
        <w:t xml:space="preserve">N 117-ФЗ</w:t>
      </w:r>
      <w:r>
        <w:rPr>
          <w:sz w:val="24"/>
        </w:rPr>
        <w:t xml:space="preserve">, от 27.12.2018 </w:t>
      </w:r>
      <w:r>
        <w:rPr>
          <w:sz w:val="24"/>
        </w:rPr>
        <w:t xml:space="preserve">N 538-ФЗ</w:t>
      </w:r>
      <w:r>
        <w:rPr>
          <w:sz w:val="24"/>
        </w:rPr>
        <w:t xml:space="preserve">)</w:t>
      </w:r>
    </w:p>
    <w:p>
      <w:pPr>
        <w:pStyle w:val="0"/>
        <w:spacing w:before="240" w:line-rule="auto"/>
        <w:ind w:firstLine="540"/>
        <w:jc w:val="both"/>
      </w:pPr>
      <w:r>
        <w:rPr>
          <w:sz w:val="24"/>
        </w:rPr>
        <w:t xml:space="preserve">5. 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путей железных дорог общей сети, расположенных на расстоянии до 200 метров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w:t>
      </w:r>
    </w:p>
    <w:p>
      <w:pPr>
        <w:pStyle w:val="0"/>
        <w:spacing w:before="240" w:line-rule="auto"/>
        <w:ind w:firstLine="540"/>
        <w:jc w:val="both"/>
      </w:pPr>
      <w:r>
        <w:rPr>
          <w:sz w:val="24"/>
        </w:rPr>
        <w:t xml:space="preserve">6. 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и сооружения, должны составлять не менее расстояний, приведенных в </w:t>
      </w:r>
      <w:hyperlink w:history="0" w:anchor="P2395" w:tooltip="Противопожарные расстояния от зданий и сооружений">
        <w:r>
          <w:rPr>
            <w:sz w:val="24"/>
            <w:color w:val="0000ff"/>
          </w:rPr>
          <w:t xml:space="preserve">таблице 13</w:t>
        </w:r>
      </w:hyperlink>
      <w:r>
        <w:rPr>
          <w:sz w:val="24"/>
        </w:rPr>
        <w:t xml:space="preserve"> приложения к настоящему Федеральному закону.</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7. Категории складов нефти и нефтепродуктов определяются в соответствии с </w:t>
      </w:r>
      <w:hyperlink w:history="0" w:anchor="P2421" w:tooltip="Категории складов для хранения нефти и нефтепродуктов">
        <w:r>
          <w:rPr>
            <w:sz w:val="24"/>
            <w:color w:val="0000ff"/>
          </w:rPr>
          <w:t xml:space="preserve">таблицей 14</w:t>
        </w:r>
      </w:hyperlink>
      <w:r>
        <w:rPr>
          <w:sz w:val="24"/>
        </w:rPr>
        <w:t xml:space="preserve"> приложения к настоящему Федеральному закону.</w:t>
      </w:r>
    </w:p>
    <w:p>
      <w:pPr>
        <w:pStyle w:val="0"/>
        <w:ind w:firstLine="540"/>
        <w:jc w:val="both"/>
      </w:pPr>
      <w:r>
        <w:rPr>
          <w:sz w:val="24"/>
        </w:rPr>
      </w:r>
    </w:p>
    <w:p>
      <w:pPr>
        <w:pStyle w:val="2"/>
        <w:outlineLvl w:val="3"/>
        <w:ind w:firstLine="540"/>
        <w:jc w:val="both"/>
      </w:pPr>
      <w:r>
        <w:rPr>
          <w:sz w:val="24"/>
        </w:rPr>
        <w:t xml:space="preserve">Статья 71. Противопожарные расстояния от зданий и сооружений автозаправочных станций до граничащих с ними объектов защиты</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одноквартирных жилых зданий;</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2) до окон или дверей (для жилых и общественных зданий).</w:t>
      </w:r>
    </w:p>
    <w:p>
      <w:pPr>
        <w:pStyle w:val="0"/>
        <w:spacing w:before="240" w:line-rule="auto"/>
        <w:ind w:firstLine="540"/>
        <w:jc w:val="both"/>
      </w:pPr>
      <w:r>
        <w:rPr>
          <w:sz w:val="24"/>
        </w:rPr>
        <w:t xml:space="preserve">2. Противопожарные расстояния от автозаправочных станций моторного топлива до соседних объектов должны соответствовать требованиям, установленным в </w:t>
      </w:r>
      <w:hyperlink w:history="0" w:anchor="P2444" w:tooltip="Противопожарные расстояния от автозаправочных станций">
        <w:r>
          <w:rPr>
            <w:sz w:val="24"/>
            <w:color w:val="0000ff"/>
          </w:rPr>
          <w:t xml:space="preserve">таблице 15</w:t>
        </w:r>
      </w:hyperlink>
      <w:r>
        <w:rPr>
          <w:sz w:val="24"/>
        </w:rPr>
        <w:t xml:space="preserve"> приложения к настоящему Федеральному закону.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pPr>
        <w:pStyle w:val="0"/>
        <w:spacing w:before="240" w:line-rule="auto"/>
        <w:ind w:firstLine="540"/>
        <w:jc w:val="both"/>
      </w:pPr>
      <w:r>
        <w:rPr>
          <w:sz w:val="24"/>
        </w:rPr>
        <w:t xml:space="preserve">3.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pPr>
        <w:pStyle w:val="0"/>
        <w:jc w:val="both"/>
      </w:pPr>
      <w:r>
        <w:rPr>
          <w:sz w:val="24"/>
        </w:rPr>
        <w:t xml:space="preserve">(в ред. Федеральных законов от 10.07.2012 </w:t>
      </w:r>
      <w:r>
        <w:rPr>
          <w:sz w:val="24"/>
        </w:rPr>
        <w:t xml:space="preserve">N 117-ФЗ</w:t>
      </w:r>
      <w:r>
        <w:rPr>
          <w:sz w:val="24"/>
        </w:rPr>
        <w:t xml:space="preserve">, от 27.12.2018 </w:t>
      </w:r>
      <w:r>
        <w:rPr>
          <w:sz w:val="24"/>
        </w:rPr>
        <w:t xml:space="preserve">N 538-ФЗ</w:t>
      </w:r>
      <w:r>
        <w:rPr>
          <w:sz w:val="24"/>
        </w:rPr>
        <w:t xml:space="preserve">)</w:t>
      </w:r>
    </w:p>
    <w:p>
      <w:pPr>
        <w:pStyle w:val="0"/>
        <w:spacing w:before="240" w:line-rule="auto"/>
        <w:ind w:firstLine="540"/>
        <w:jc w:val="both"/>
      </w:pPr>
      <w:r>
        <w:rPr>
          <w:sz w:val="24"/>
        </w:rPr>
        <w:t xml:space="preserve">4.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pPr>
        <w:pStyle w:val="0"/>
        <w:spacing w:before="240" w:line-rule="auto"/>
        <w:ind w:firstLine="540"/>
        <w:jc w:val="both"/>
      </w:pPr>
      <w:r>
        <w:rPr>
          <w:sz w:val="24"/>
        </w:rPr>
        <w:t xml:space="preserve">5. 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ind w:firstLine="540"/>
        <w:jc w:val="both"/>
      </w:pPr>
      <w:r>
        <w:rPr>
          <w:sz w:val="24"/>
        </w:rPr>
      </w:r>
    </w:p>
    <w:p>
      <w:pPr>
        <w:pStyle w:val="2"/>
        <w:outlineLvl w:val="3"/>
        <w:ind w:firstLine="540"/>
        <w:jc w:val="both"/>
      </w:pPr>
      <w:r>
        <w:rPr>
          <w:sz w:val="24"/>
        </w:rPr>
        <w:t xml:space="preserve">Статья 72. Утратила силу. - Федеральный </w:t>
      </w:r>
      <w:r>
        <w:rPr>
          <w:sz w:val="24"/>
        </w:rPr>
        <w:t xml:space="preserve">закон</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73. Противопожарные расстояния от резервуаров сжиженных углеводородных газов до зданий и сооружений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Противопожарные расстояния от резервуаров сжиженных углеводородных газов, размещаемых на складе организации, общей вместимостью до 10 000 кубических метров при хранении под давлением или вместимостью до 40 000 кубических метров при хранении изотермическим способом до других объектов, как входящих в состав организации, так и располагаемых вне территории организации, приведены в </w:t>
      </w:r>
      <w:hyperlink w:history="0" w:anchor="P2528" w:tooltip="Противопожарные расстояния от резервуара на складе">
        <w:r>
          <w:rPr>
            <w:sz w:val="24"/>
            <w:color w:val="0000ff"/>
          </w:rPr>
          <w:t xml:space="preserve">таблице 17</w:t>
        </w:r>
      </w:hyperlink>
      <w:r>
        <w:rPr>
          <w:sz w:val="24"/>
        </w:rPr>
        <w:t xml:space="preserve"> приложения к настоящему Федеральному закону.</w:t>
      </w:r>
    </w:p>
    <w:p>
      <w:pPr>
        <w:pStyle w:val="0"/>
        <w:spacing w:before="240" w:line-rule="auto"/>
        <w:ind w:firstLine="540"/>
        <w:jc w:val="both"/>
      </w:pPr>
      <w:r>
        <w:rPr>
          <w:sz w:val="24"/>
        </w:rPr>
        <w:t xml:space="preserve">2. Противопожарные расстояния от отдельно стоящей сливоналивной эстакады до соседних объектов, жилых домов и общественных зданий и сооружений принимаются как расстояния от резервуаров сжиженных углеводородных газов и легковоспламеняющихся жидкостей под давлением.</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Противопожарные расстояния от резервуаров сжиженных углеводородных газов, размещаемых на складе организации, общей вместимостью от 10 000 до 20 000 кубических метров при хранении под давлением либо вместимостью от 40 000 до 60 000 кубических метров при хранении изотермическим способом в надземных резервуарах или вместимостью от 40 000 до 100 000 кубических метров при хранении изотермическим способом в подземных резервуарах до других объектов, располагаемых как на территории организации, так и вне ее территории, приведены в </w:t>
      </w:r>
      <w:hyperlink w:history="0" w:anchor="P2623" w:tooltip="Противопожарные расстояния от складов сжиженных">
        <w:r>
          <w:rPr>
            <w:sz w:val="24"/>
            <w:color w:val="0000ff"/>
          </w:rPr>
          <w:t xml:space="preserve">таблице 18</w:t>
        </w:r>
      </w:hyperlink>
      <w:r>
        <w:rPr>
          <w:sz w:val="24"/>
        </w:rPr>
        <w:t xml:space="preserve"> приложения к настоящему Федеральному закону.</w:t>
      </w:r>
    </w:p>
    <w:p>
      <w:pPr>
        <w:pStyle w:val="0"/>
        <w:ind w:firstLine="540"/>
        <w:jc w:val="both"/>
      </w:pPr>
      <w:r>
        <w:rPr>
          <w:sz w:val="24"/>
        </w:rPr>
      </w:r>
    </w:p>
    <w:p>
      <w:pPr>
        <w:pStyle w:val="2"/>
        <w:outlineLvl w:val="3"/>
        <w:ind w:firstLine="540"/>
        <w:jc w:val="both"/>
      </w:pPr>
      <w:r>
        <w:rPr>
          <w:sz w:val="24"/>
        </w:rPr>
        <w:t xml:space="preserve">Статья 74. Противопожарные расстояния от газопроводов, нефтепроводов, нефтепродуктопроводов, конденсатопроводов до соседних объектов защиты</w:t>
      </w:r>
    </w:p>
    <w:p>
      <w:pPr>
        <w:pStyle w:val="0"/>
        <w:ind w:firstLine="540"/>
        <w:jc w:val="both"/>
      </w:pPr>
      <w:r>
        <w:rPr>
          <w:sz w:val="24"/>
        </w:rPr>
      </w:r>
    </w:p>
    <w:p>
      <w:pPr>
        <w:pStyle w:val="0"/>
        <w:ind w:firstLine="540"/>
        <w:jc w:val="both"/>
      </w:pPr>
      <w:r>
        <w:rPr>
          <w:sz w:val="24"/>
        </w:rPr>
        <w:t xml:space="preserve">1. 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w:t>
      </w:r>
      <w:r>
        <w:rPr>
          <w:sz w:val="24"/>
        </w:rPr>
        <w:t xml:space="preserve">законом</w:t>
      </w:r>
      <w:r>
        <w:rPr>
          <w:sz w:val="24"/>
        </w:rPr>
        <w:t xml:space="preserve">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резервуара до зданий, сооружений и коммуникаций, приведены в </w:t>
      </w:r>
      <w:hyperlink w:history="0" w:anchor="P2706" w:tooltip="Противопожарные расстояния от резервуарных установок">
        <w:r>
          <w:rPr>
            <w:sz w:val="24"/>
            <w:color w:val="0000ff"/>
          </w:rPr>
          <w:t xml:space="preserve">таблицах 19</w:t>
        </w:r>
      </w:hyperlink>
      <w:r>
        <w:rPr>
          <w:sz w:val="24"/>
        </w:rPr>
        <w:t xml:space="preserve"> и </w:t>
      </w:r>
      <w:hyperlink w:history="0" w:anchor="P2816" w:tooltip="Противопожарные расстояния от резервуарных установок">
        <w:r>
          <w:rPr>
            <w:sz w:val="24"/>
            <w:color w:val="0000ff"/>
          </w:rPr>
          <w:t xml:space="preserve">20</w:t>
        </w:r>
      </w:hyperlink>
      <w:r>
        <w:rPr>
          <w:sz w:val="24"/>
        </w:rPr>
        <w:t xml:space="preserve"> приложения к настоящему Федеральному закону.</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При установке 2 резервуаров сжиженных углеводородных газов единичной вместимостью по 50 кубических метров противопожарные расстояния до зданий и сооружений (жилых, общественных, производственных), не относящихся к газонаполнительным станциям, допускается уменьшать для надземных резервуаров до 100 метров, для подземных - до 50 метров.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4. Противопожарные расстояния от надземных резервуаров до мест, где одновременно могут находиться более 800 человек (стадионов, рынков, парков, жилых домов), а также до границ земельных участков образовательных организаций и лечебных учреждений стационарного типа следует увеличить в два раза по сравнению с расстояниями, указанными в </w:t>
      </w:r>
      <w:hyperlink w:history="0" w:anchor="P2816" w:tooltip="Противопожарные расстояния от резервуарных установок">
        <w:r>
          <w:rPr>
            <w:sz w:val="24"/>
            <w:color w:val="0000ff"/>
          </w:rPr>
          <w:t xml:space="preserve">таблице 20</w:t>
        </w:r>
      </w:hyperlink>
      <w:r>
        <w:rPr>
          <w:sz w:val="24"/>
        </w:rPr>
        <w:t xml:space="preserve"> приложения к настоящему Федеральному закону, независимо от количества мест.</w:t>
      </w:r>
    </w:p>
    <w:p>
      <w:pPr>
        <w:pStyle w:val="0"/>
        <w:jc w:val="both"/>
      </w:pPr>
      <w:r>
        <w:rPr>
          <w:sz w:val="24"/>
        </w:rPr>
        <w:t xml:space="preserve">(часть 4 в ред. Федерального </w:t>
      </w:r>
      <w:r>
        <w:rPr>
          <w:sz w:val="24"/>
        </w:rPr>
        <w:t xml:space="preserve">закона</w:t>
      </w:r>
      <w:r>
        <w:rPr>
          <w:sz w:val="24"/>
        </w:rPr>
        <w:t xml:space="preserve"> от 30.04.2021 N 117-ФЗ)</w:t>
      </w:r>
    </w:p>
    <w:p>
      <w:pPr>
        <w:pStyle w:val="0"/>
        <w:ind w:firstLine="540"/>
        <w:jc w:val="both"/>
      </w:pPr>
      <w:r>
        <w:rPr>
          <w:sz w:val="24"/>
        </w:rPr>
      </w:r>
    </w:p>
    <w:p>
      <w:pPr>
        <w:pStyle w:val="2"/>
        <w:outlineLvl w:val="3"/>
        <w:ind w:firstLine="540"/>
        <w:jc w:val="both"/>
      </w:pPr>
      <w:r>
        <w:rPr>
          <w:sz w:val="24"/>
        </w:rPr>
        <w:t xml:space="preserve">Статья 75. Утратила силу. - Федеральный </w:t>
      </w:r>
      <w:r>
        <w:rPr>
          <w:sz w:val="24"/>
        </w:rPr>
        <w:t xml:space="preserve">закон</w:t>
      </w:r>
      <w:r>
        <w:rPr>
          <w:sz w:val="24"/>
        </w:rPr>
        <w:t xml:space="preserve"> от 10.07.2012 N 117-ФЗ.</w:t>
      </w:r>
    </w:p>
    <w:p>
      <w:pPr>
        <w:pStyle w:val="0"/>
        <w:ind w:firstLine="540"/>
        <w:jc w:val="both"/>
      </w:pPr>
      <w:r>
        <w:rPr>
          <w:sz w:val="24"/>
        </w:rPr>
      </w:r>
    </w:p>
    <w:p>
      <w:pPr>
        <w:pStyle w:val="2"/>
        <w:outlineLvl w:val="2"/>
        <w:jc w:val="center"/>
      </w:pPr>
      <w:r>
        <w:rPr>
          <w:sz w:val="24"/>
        </w:rPr>
        <w:t xml:space="preserve">Глава 17. ОБЩИЕ ТРЕБОВАНИЯ ПОЖАРНОЙ</w:t>
      </w:r>
    </w:p>
    <w:p>
      <w:pPr>
        <w:pStyle w:val="2"/>
        <w:jc w:val="center"/>
      </w:pPr>
      <w:r>
        <w:rPr>
          <w:sz w:val="24"/>
        </w:rPr>
        <w:t xml:space="preserve">БЕЗОПАСНОСТИ ПО РАЗМЕЩЕНИЮ ЗДАНИЙ ПОЖАРНЫХ ДЕПО</w:t>
      </w:r>
    </w:p>
    <w:p>
      <w:pPr>
        <w:pStyle w:val="2"/>
        <w:jc w:val="center"/>
      </w:pPr>
      <w:r>
        <w:rPr>
          <w:sz w:val="24"/>
        </w:rPr>
        <w:t xml:space="preserve">НА ТЕРРИТОРИЯХ НАСЕЛЕННЫХ ПУНКТОВ</w:t>
      </w:r>
    </w:p>
    <w:p>
      <w:pPr>
        <w:pStyle w:val="0"/>
        <w:jc w:val="center"/>
      </w:pPr>
      <w:r>
        <w:rPr>
          <w:sz w:val="24"/>
        </w:rPr>
        <w:t xml:space="preserve">(в ред. Федерального </w:t>
      </w:r>
      <w:r>
        <w:rPr>
          <w:sz w:val="24"/>
        </w:rPr>
        <w:t xml:space="preserve">закона</w:t>
      </w:r>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76. Требования пожарной безопасности по размещению зданий пожарных депо на территориях населенных пунктов</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ind w:firstLine="540"/>
        <w:jc w:val="both"/>
      </w:pPr>
      <w:r>
        <w:rPr>
          <w:sz w:val="24"/>
        </w:rPr>
      </w:r>
    </w:p>
    <w:bookmarkStart w:id="1013" w:name="P1013"/>
    <w:bookmarkEnd w:id="1013"/>
    <w:p>
      <w:pPr>
        <w:pStyle w:val="0"/>
        <w:ind w:firstLine="540"/>
        <w:jc w:val="both"/>
      </w:pPr>
      <w:r>
        <w:rPr>
          <w:sz w:val="24"/>
        </w:rPr>
        <w:t xml:space="preserve">1. 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w:t>
      </w:r>
    </w:p>
    <w:p>
      <w:pPr>
        <w:pStyle w:val="0"/>
        <w:jc w:val="both"/>
      </w:pPr>
      <w:r>
        <w:rPr>
          <w:sz w:val="24"/>
        </w:rPr>
        <w:t xml:space="preserve">(часть 1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Подразделения пожарной охраны населенных пунктов должны размещаться в зданиях пожарных депо.</w:t>
      </w:r>
    </w:p>
    <w:p>
      <w:pPr>
        <w:pStyle w:val="0"/>
        <w:spacing w:before="240" w:line-rule="auto"/>
        <w:ind w:firstLine="540"/>
        <w:jc w:val="both"/>
      </w:pPr>
      <w:r>
        <w:rPr>
          <w:sz w:val="24"/>
        </w:rPr>
        <w:t xml:space="preserve">3. </w:t>
      </w:r>
      <w:r>
        <w:rPr>
          <w:sz w:val="24"/>
        </w:rPr>
        <w:t xml:space="preserve">Порядок и методика</w:t>
      </w:r>
      <w:r>
        <w:rPr>
          <w:sz w:val="24"/>
        </w:rPr>
        <w:t xml:space="preserve"> определения мест размещения зданий пожарных депо на территориях населенных пунктов устанавливаются нормативными документами по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77. Требования пожарной безопасности к пожарным депо</w:t>
      </w:r>
    </w:p>
    <w:p>
      <w:pPr>
        <w:pStyle w:val="0"/>
        <w:ind w:firstLine="540"/>
        <w:jc w:val="both"/>
      </w:pPr>
      <w:r>
        <w:rPr>
          <w:sz w:val="24"/>
        </w:rPr>
      </w:r>
    </w:p>
    <w:p>
      <w:pPr>
        <w:pStyle w:val="0"/>
        <w:ind w:firstLine="540"/>
        <w:jc w:val="both"/>
      </w:pPr>
      <w:r>
        <w:rPr>
          <w:sz w:val="24"/>
        </w:rPr>
        <w:t xml:space="preserve">1.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29.07.2017 N 244-ФЗ.</w:t>
      </w:r>
    </w:p>
    <w:p>
      <w:pPr>
        <w:pStyle w:val="0"/>
        <w:spacing w:before="240" w:line-rule="auto"/>
        <w:ind w:firstLine="540"/>
        <w:jc w:val="both"/>
      </w:pPr>
      <w:r>
        <w:rPr>
          <w:sz w:val="24"/>
        </w:rPr>
        <w:t xml:space="preserve">3. 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pPr>
        <w:pStyle w:val="0"/>
        <w:spacing w:before="240" w:line-rule="auto"/>
        <w:ind w:firstLine="540"/>
        <w:jc w:val="both"/>
      </w:pPr>
      <w:r>
        <w:rPr>
          <w:sz w:val="24"/>
        </w:rPr>
        <w:t xml:space="preserve">4. Состав зданий и сооружений, размещаемых на территории пожарного депо, площади зданий и сооружений определяются техническим заданием на проектирование.</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5. Территория пожарного депо должна иметь два въезда (выезда). Ширина ворот на въезде (выезде) должна быть не менее 4,5 метра.</w:t>
      </w:r>
    </w:p>
    <w:p>
      <w:pPr>
        <w:pStyle w:val="0"/>
        <w:spacing w:before="240" w:line-rule="auto"/>
        <w:ind w:firstLine="540"/>
        <w:jc w:val="both"/>
      </w:pPr>
      <w:r>
        <w:rPr>
          <w:sz w:val="24"/>
        </w:rPr>
        <w:t xml:space="preserve">6. Дороги и площадки на территории пожарного депо должны иметь твердое покрытие.</w:t>
      </w:r>
    </w:p>
    <w:p>
      <w:pPr>
        <w:pStyle w:val="0"/>
        <w:spacing w:before="240" w:line-rule="auto"/>
        <w:ind w:firstLine="540"/>
        <w:jc w:val="both"/>
      </w:pPr>
      <w:r>
        <w:rPr>
          <w:sz w:val="24"/>
        </w:rPr>
        <w:t xml:space="preserve">7. 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pPr>
        <w:pStyle w:val="0"/>
        <w:ind w:firstLine="540"/>
        <w:jc w:val="both"/>
      </w:pPr>
      <w:r>
        <w:rPr>
          <w:sz w:val="24"/>
        </w:rPr>
      </w:r>
    </w:p>
    <w:p>
      <w:pPr>
        <w:pStyle w:val="2"/>
        <w:outlineLvl w:val="1"/>
        <w:jc w:val="center"/>
      </w:pPr>
      <w:r>
        <w:rPr>
          <w:sz w:val="24"/>
        </w:rPr>
        <w:t xml:space="preserve">Раздел III. ТРЕБОВАНИЯ ПОЖАРНОЙ БЕЗОПАСНОСТИ</w:t>
      </w:r>
    </w:p>
    <w:p>
      <w:pPr>
        <w:pStyle w:val="2"/>
        <w:jc w:val="center"/>
      </w:pPr>
      <w:r>
        <w:rPr>
          <w:sz w:val="24"/>
        </w:rPr>
        <w:t xml:space="preserve">ПРИ АРХИТЕКТУРНО-СТРОИТЕЛЬНОМ ПРОЕКТИРОВАНИИ, СТРОИТЕЛЬСТВЕ</w:t>
      </w:r>
    </w:p>
    <w:p>
      <w:pPr>
        <w:pStyle w:val="2"/>
        <w:jc w:val="center"/>
      </w:pPr>
      <w:r>
        <w:rPr>
          <w:sz w:val="24"/>
        </w:rPr>
        <w:t xml:space="preserve">И ЭКСПЛУАТАЦИИ ЗДАНИЙ И СООРУЖЕНИЙ</w:t>
      </w:r>
    </w:p>
    <w:p>
      <w:pPr>
        <w:pStyle w:val="0"/>
        <w:jc w:val="center"/>
      </w:pPr>
      <w:r>
        <w:rPr>
          <w:sz w:val="24"/>
        </w:rPr>
        <w:t xml:space="preserve">(в ред. Федерального </w:t>
      </w:r>
      <w:r>
        <w:rPr>
          <w:sz w:val="24"/>
        </w:rPr>
        <w:t xml:space="preserve">закона</w:t>
      </w:r>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18. ОБЩИЕ ТРЕБОВАНИЯ ПОЖАРНОЙ БЕЗОПАСНОСТИ</w:t>
      </w:r>
    </w:p>
    <w:p>
      <w:pPr>
        <w:pStyle w:val="2"/>
        <w:jc w:val="center"/>
      </w:pPr>
      <w:r>
        <w:rPr>
          <w:sz w:val="24"/>
        </w:rPr>
        <w:t xml:space="preserve">ПРИ АРХИТЕКТУРНО-СТРОИТЕЛЬНОМ ПРОЕКТИРОВАНИИ, СТРОИТЕЛЬСТВЕ</w:t>
      </w:r>
    </w:p>
    <w:p>
      <w:pPr>
        <w:pStyle w:val="2"/>
        <w:jc w:val="center"/>
      </w:pPr>
      <w:r>
        <w:rPr>
          <w:sz w:val="24"/>
        </w:rPr>
        <w:t xml:space="preserve">И ЭКСПЛУАТАЦИИ ЗДАНИЙ И СООРУЖЕНИЙ</w:t>
      </w:r>
    </w:p>
    <w:p>
      <w:pPr>
        <w:pStyle w:val="0"/>
        <w:jc w:val="center"/>
      </w:pPr>
      <w:r>
        <w:rPr>
          <w:sz w:val="24"/>
        </w:rPr>
        <w:t xml:space="preserve">(в ред. Федеральных законов от 10.07.2012 </w:t>
      </w:r>
      <w:r>
        <w:rPr>
          <w:sz w:val="24"/>
        </w:rPr>
        <w:t xml:space="preserve">N 117-ФЗ</w:t>
      </w:r>
      <w:r>
        <w:rPr>
          <w:sz w:val="24"/>
        </w:rPr>
        <w:t xml:space="preserve">,</w:t>
      </w:r>
    </w:p>
    <w:p>
      <w:pPr>
        <w:pStyle w:val="0"/>
        <w:jc w:val="center"/>
      </w:pPr>
      <w:r>
        <w:rPr>
          <w:sz w:val="24"/>
        </w:rPr>
        <w:t xml:space="preserve">от 14.07.2022 </w:t>
      </w:r>
      <w:r>
        <w:rPr>
          <w:sz w:val="24"/>
        </w:rPr>
        <w:t xml:space="preserve">N 276-ФЗ</w:t>
      </w:r>
      <w:r>
        <w:rPr>
          <w:sz w:val="24"/>
        </w:rPr>
        <w:t xml:space="preserve">)</w:t>
      </w:r>
    </w:p>
    <w:p>
      <w:pPr>
        <w:pStyle w:val="0"/>
        <w:ind w:firstLine="540"/>
        <w:jc w:val="both"/>
      </w:pPr>
      <w:r>
        <w:rPr>
          <w:sz w:val="24"/>
        </w:rPr>
      </w:r>
    </w:p>
    <w:p>
      <w:pPr>
        <w:pStyle w:val="2"/>
        <w:outlineLvl w:val="3"/>
        <w:ind w:firstLine="540"/>
        <w:jc w:val="both"/>
      </w:pPr>
      <w:r>
        <w:rPr>
          <w:sz w:val="24"/>
        </w:rPr>
        <w:t xml:space="preserve">Статья 78. Требования к проектной документации на объекты строительства</w:t>
      </w:r>
    </w:p>
    <w:p>
      <w:pPr>
        <w:pStyle w:val="0"/>
        <w:ind w:firstLine="540"/>
        <w:jc w:val="both"/>
      </w:pPr>
      <w:r>
        <w:rPr>
          <w:sz w:val="24"/>
        </w:rPr>
      </w:r>
    </w:p>
    <w:p>
      <w:pPr>
        <w:pStyle w:val="0"/>
        <w:ind w:firstLine="540"/>
        <w:jc w:val="both"/>
      </w:pPr>
      <w:r>
        <w:rPr>
          <w:sz w:val="24"/>
        </w:rPr>
        <w:t xml:space="preserve">1. Проектная документация на здания, сооружения,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Для зданий, сооружений, для которых отсутствуют нормативные требования пожарной безопасности, на основе требований настоящего Федерального закона должны быть разработаны специальные технические условия,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bookmarkStart w:id="1048" w:name="P1048"/>
    <w:bookmarkEnd w:id="1048"/>
    <w:p>
      <w:pPr>
        <w:pStyle w:val="2"/>
        <w:outlineLvl w:val="3"/>
        <w:ind w:firstLine="540"/>
        <w:jc w:val="both"/>
      </w:pPr>
      <w:r>
        <w:rPr>
          <w:sz w:val="24"/>
        </w:rPr>
        <w:t xml:space="preserve">Статья 79. Нормативное значение пожарного риска для зданий и сооружений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Индивидуальный пожарный риск в зданиях и сооружениях не должен превышать значение одной миллионной в год при размещении отдельного человека в наиболее удаленной от выхода из здания и сооружения точке.</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80. Требования пожарной безопасности при проектировании, реконструкции и изменении функционального назначения зданий и сооружений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Конструктивные, объемно-планировочные и инженерно-технические решения зданий и сооружений должны обеспечивать в случае пожара: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 эвакуацию людей в безопасную зону до нанесения вреда их жизни и здоровью вследствие воздействия опасных факторов пожара;</w:t>
      </w:r>
    </w:p>
    <w:p>
      <w:pPr>
        <w:pStyle w:val="0"/>
        <w:spacing w:before="240" w:line-rule="auto"/>
        <w:ind w:firstLine="540"/>
        <w:jc w:val="both"/>
      </w:pPr>
      <w:r>
        <w:rPr>
          <w:sz w:val="24"/>
        </w:rPr>
        <w:t xml:space="preserve">2) возможность проведения мероприятий по спасению людей;</w:t>
      </w:r>
    </w:p>
    <w:p>
      <w:pPr>
        <w:pStyle w:val="0"/>
        <w:spacing w:before="240" w:line-rule="auto"/>
        <w:ind w:firstLine="540"/>
        <w:jc w:val="both"/>
      </w:pPr>
      <w:r>
        <w:rPr>
          <w:sz w:val="24"/>
        </w:rPr>
        <w:t xml:space="preserve">3) возможность доступа личного состава подразделений пожарной охраны и доставки средств пожаротушения в любое помещение зданий и сооружений;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4) возможность подачи огнетушащих веществ в очаг пожара;</w:t>
      </w:r>
    </w:p>
    <w:p>
      <w:pPr>
        <w:pStyle w:val="0"/>
        <w:spacing w:before="240" w:line-rule="auto"/>
        <w:ind w:firstLine="540"/>
        <w:jc w:val="both"/>
      </w:pPr>
      <w:r>
        <w:rPr>
          <w:sz w:val="24"/>
        </w:rPr>
        <w:t xml:space="preserve">5) нераспространение пожара на соседние здания и сооружения.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В зданиях и сооружениях помещения категорий А и Б по взрывопожарной и пожарной опасности должны размещаться у наружных стен, а в многоэтажных зданиях и сооружениях - на верхних этажах, за исключением случаев, указанных в технических регламентах для данных объектов.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При изменении функционального назначения зданий, сооружений или отдельных помещений в них, а также при изменении объемно-планировочных и конструктивных решений должно быть обеспечено выполнение требований пожарной безопасности, установленных в соответствии с настоящим Федеральным законом применительно к новому назначению этих зданий, сооружений или помещений.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2"/>
        <w:jc w:val="center"/>
      </w:pPr>
      <w:r>
        <w:rPr>
          <w:sz w:val="24"/>
        </w:rPr>
        <w:t xml:space="preserve">Глава 19. ТРЕБОВАНИЯ К СОСТАВУ И ФУНКЦИОНАЛЬНЫМ</w:t>
      </w:r>
    </w:p>
    <w:p>
      <w:pPr>
        <w:pStyle w:val="2"/>
        <w:jc w:val="center"/>
      </w:pPr>
      <w:r>
        <w:rPr>
          <w:sz w:val="24"/>
        </w:rPr>
        <w:t xml:space="preserve">ХАРАКТЕРИСТИКАМ СИСТЕМ ОБЕСПЕЧЕНИЯ ПОЖАРНОЙ БЕЗОПАСНОСТИ</w:t>
      </w:r>
    </w:p>
    <w:p>
      <w:pPr>
        <w:pStyle w:val="2"/>
        <w:jc w:val="center"/>
      </w:pPr>
      <w:r>
        <w:rPr>
          <w:sz w:val="24"/>
        </w:rPr>
        <w:t xml:space="preserve">ЗДАНИЙ И СООРУЖЕНИЙ</w:t>
      </w:r>
    </w:p>
    <w:p>
      <w:pPr>
        <w:pStyle w:val="0"/>
        <w:jc w:val="center"/>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81. Требования к функциональным характеристикам систем обеспечения пожарной безопасности зданий и сооружений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Функциональные характеристики систем обеспечения пожарной безопасности зданий и сооружений должны соответствовать требованиям, установленным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Величина индивидуального пожарного риска в зданиях и сооружениях с массовым пребыванием людей, зданиях и сооружениях повышенной этажности, а также в зданиях и сооружениях с пребыванием детей и групп населения с ограниченными возможностями передвижения должна обеспечиваться в первую очередь системой предотвращения пожара и комплексом организационно-технических мероприятий.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Системы противопожарной защиты зданий и сооружений должны обеспечивать возможность эвакуации людей в безопасную зону до наступления предельно допустимых значений опасных факторов пожара.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4. Функциональные характеристики систем обеспечения пожарной безопасности зданий и сооружений, а также инженерного оборудования зданий и сооружений определяются в соответствии с техническими регламентами для данных объектов, принятыми в соответствии с Федеральным </w:t>
      </w:r>
      <w:r>
        <w:rPr>
          <w:sz w:val="24"/>
        </w:rPr>
        <w:t xml:space="preserve">законом</w:t>
      </w:r>
      <w:r>
        <w:rPr>
          <w:sz w:val="24"/>
        </w:rPr>
        <w:t xml:space="preserve"> "О техническом регулировании", для данных объектов и (или) нормативными документами по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82. Требования пожарной безопасности к электроустановкам зданий и сооружений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bookmarkStart w:id="1093" w:name="P1093"/>
    <w:bookmarkEnd w:id="1093"/>
    <w:p>
      <w:pPr>
        <w:pStyle w:val="0"/>
        <w:ind w:firstLine="540"/>
        <w:jc w:val="both"/>
      </w:pPr>
      <w:r>
        <w:rPr>
          <w:sz w:val="24"/>
        </w:rPr>
        <w:t xml:space="preserve">1. Электроустановки зданий и сооружений должны соответствовать классу пожаровзрывоопасной зоны, в которой они установлены, а также категории и группе горючей смеси. Для обеспечения бесперебойного энергоснабжения систем противопожарной защиты, установленных в зданиях класса функциональной пожарной опасности Ф1.1 с круглосуточным пребыванием людей, должны предусматриваться автономные резервные источники электроснабжения.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Кабельные линии и электропроводка систем противопожарной защиты, средств обеспечения деятельности подразделений пожарной охраны, систем обнаружения пожара, оповещения и управления эвакуацией людей при пожаре, аварийного освещения на путях эвакуации, аварийной вентиляции и противодымной защиты, автоматического пожаротушения, внутреннего противопожарного водопровода,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 необходимого для выполнения их функций.</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3. 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w:t>
      </w:r>
    </w:p>
    <w:p>
      <w:pPr>
        <w:pStyle w:val="0"/>
        <w:spacing w:before="240" w:line-rule="auto"/>
        <w:ind w:firstLine="540"/>
        <w:jc w:val="both"/>
      </w:pPr>
      <w:r>
        <w:rPr>
          <w:sz w:val="24"/>
        </w:rPr>
        <w:t xml:space="preserve">4. Линии электроснабжения помещений зданий и сооружений должны иметь устройства защитного отключения, предотвращающие возникновение пожара. Правила установки и параметры устройств защитного отключения должны учитывать требования пожарной безопасности, установленные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5. Распределительные щиты должны иметь защиту, исключающую распространение горения за пределы щита из слаботочного отсека в силовой и наоборот.</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7. Горизонтальные и вертикальные каналы для прокладки электрокабелей и проводов в зданиях и сооружениях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8. Кабели, прокладываемые открыто, должны быть не распространяющими горение.</w:t>
      </w:r>
    </w:p>
    <w:p>
      <w:pPr>
        <w:pStyle w:val="0"/>
        <w:spacing w:before="240" w:line-rule="auto"/>
        <w:ind w:firstLine="540"/>
        <w:jc w:val="both"/>
      </w:pPr>
      <w:r>
        <w:rPr>
          <w:sz w:val="24"/>
        </w:rPr>
        <w:t xml:space="preserve">9. 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w:t>
      </w:r>
    </w:p>
    <w:p>
      <w:pPr>
        <w:pStyle w:val="0"/>
        <w:spacing w:before="240" w:line-rule="auto"/>
        <w:ind w:firstLine="540"/>
        <w:jc w:val="both"/>
      </w:pPr>
      <w:r>
        <w:rPr>
          <w:sz w:val="24"/>
        </w:rPr>
        <w:t xml:space="preserve">10. Электрооборудование без средств пожаровзрывозащиты не допускается использовать во взрывоопасных, взрывопожароопасных и пожароопасных помещениях зданий и сооружений, не имеющих направленных на исключение опасности появления источника зажигания в горючей среде дополнительных мер защиты.</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12. Взрывозащищенное электрооборудование допускается использовать в пожароопасных и непожароопасных помещениях, а во взрывоопасных помещениях - при условии соответствия категории и группы взрывоопасной смеси в помещении виду взрывозащиты электрооборудования.</w:t>
      </w:r>
    </w:p>
    <w:p>
      <w:pPr>
        <w:pStyle w:val="0"/>
        <w:spacing w:before="240" w:line-rule="auto"/>
        <w:ind w:firstLine="540"/>
        <w:jc w:val="both"/>
      </w:pPr>
      <w:r>
        <w:rPr>
          <w:sz w:val="24"/>
        </w:rPr>
        <w:t xml:space="preserve">13. Правила применения электрооборудования в зависимости от степени его взрывопожарной и пожарной опасности в зданиях и сооружениях различного назначения, а также показатели пожарной опасности электрооборудования и методы их определения устанавливаются техническими регламентами для данной продукции, принятыми в соответствии с Федеральным </w:t>
      </w:r>
      <w:r>
        <w:rPr>
          <w:sz w:val="24"/>
        </w:rPr>
        <w:t xml:space="preserve">законом</w:t>
      </w:r>
      <w:r>
        <w:rPr>
          <w:sz w:val="24"/>
        </w:rPr>
        <w:t xml:space="preserve"> "О техническом регулировании", для данной продукции и (или) нормативными документами по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83. Требования к системам автоматического пожаротушения и системам пожарной сигнализации</w:t>
      </w:r>
    </w:p>
    <w:p>
      <w:pPr>
        <w:pStyle w:val="0"/>
        <w:ind w:firstLine="540"/>
        <w:jc w:val="both"/>
      </w:pPr>
      <w:r>
        <w:rPr>
          <w:sz w:val="24"/>
        </w:rPr>
      </w:r>
    </w:p>
    <w:p>
      <w:pPr>
        <w:pStyle w:val="0"/>
        <w:ind w:firstLine="540"/>
        <w:jc w:val="both"/>
      </w:pPr>
      <w:r>
        <w:rPr>
          <w:sz w:val="24"/>
        </w:rPr>
        <w:t xml:space="preserve">1. 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 разработанной и утвержденной в установленном порядке. Автоматические установки пожаротушения должны быть обеспечены:</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 расчетным количеством огнетушащего вещества, достаточным для ликвидации пожара в защищаемом помещении, здании или сооружении;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устройством для контроля работоспособности установки;</w:t>
      </w:r>
    </w:p>
    <w:p>
      <w:pPr>
        <w:pStyle w:val="0"/>
        <w:spacing w:before="240" w:line-rule="auto"/>
        <w:ind w:firstLine="540"/>
        <w:jc w:val="both"/>
      </w:pPr>
      <w:r>
        <w:rPr>
          <w:sz w:val="24"/>
        </w:rPr>
        <w:t xml:space="preserve">3) устройством для оповещения людей о пожаре, а также дежурного персонала и (или) подразделения пожарной охраны о месте его возникновения;</w:t>
      </w:r>
    </w:p>
    <w:p>
      <w:pPr>
        <w:pStyle w:val="0"/>
        <w:spacing w:before="240" w:line-rule="auto"/>
        <w:ind w:firstLine="540"/>
        <w:jc w:val="both"/>
      </w:pPr>
      <w:r>
        <w:rPr>
          <w:sz w:val="24"/>
        </w:rPr>
        <w:t xml:space="preserve">4) устройством для задержки подачи газовых и порошковых огнетушащих веществ на время, необходимое для эвакуации людей из помещения пожара;</w:t>
      </w:r>
    </w:p>
    <w:p>
      <w:pPr>
        <w:pStyle w:val="0"/>
        <w:spacing w:before="240" w:line-rule="auto"/>
        <w:ind w:firstLine="540"/>
        <w:jc w:val="both"/>
      </w:pPr>
      <w:r>
        <w:rPr>
          <w:sz w:val="24"/>
        </w:rPr>
        <w:t xml:space="preserve">5) устройством для ручного пуска установки пожаротушения, за исключением установок пожаротушения, оборудованных оросителями (распылителями), оснащенными замками, срабатывающими от воздействия опасных факторов пожара.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Способ подачи огнетушащего вещества в очаг пожара не должен приводить к увеличению площади пожара вследствие разлива, разбрызгивания или распыления горючих материалов и к выделению горючих и токсичных газов.</w:t>
      </w:r>
    </w:p>
    <w:p>
      <w:pPr>
        <w:pStyle w:val="0"/>
        <w:spacing w:before="240" w:line-rule="auto"/>
        <w:ind w:firstLine="540"/>
        <w:jc w:val="both"/>
      </w:pPr>
      <w:r>
        <w:rPr>
          <w:sz w:val="24"/>
        </w:rPr>
        <w:t xml:space="preserve">3. В проектной документации на монтаж автоматических установок пожаротушения должны быть предусмотрены меры по удалению огнетушащего вещества из помещения, здания и сооружения после его подачи.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4. Автоматические установки пожаротушения и пожарной сигнализации в зависимости от разработанного при их проектировании алгоритма должны обеспечивать автоматическое обнаружение пожара, подачу управляющих сигналов на технические средства оповещения людей о пожаре и управления эвакуацией людей, приборы управления установками пожаротушения, технические средства управления системой противодымной защиты, инженерным и технологическим оборудованием.</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5. Автоматические установки пожаротушения и пожарной сигнализации должны обеспечивать автоматическое информирование дежурного персонала о возникновении неисправности линий связи между отдельными техническими средствами, входящими в состав установок.</w:t>
      </w:r>
    </w:p>
    <w:p>
      <w:pPr>
        <w:pStyle w:val="0"/>
        <w:jc w:val="both"/>
      </w:pPr>
      <w:r>
        <w:rPr>
          <w:sz w:val="24"/>
        </w:rPr>
        <w:t xml:space="preserve">(часть 5 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6. Пожарные извещатели и иные средства обнаружения пожара должны располагаться в защищаемом помещении таким образом, чтобы обеспечить своевременное обнаружение пожара в любой точке этого помещения.</w:t>
      </w:r>
    </w:p>
    <w:p>
      <w:pPr>
        <w:pStyle w:val="0"/>
        <w:jc w:val="both"/>
      </w:pPr>
      <w:r>
        <w:rPr>
          <w:sz w:val="24"/>
        </w:rPr>
        <w:t xml:space="preserve">(в ред. Федерального </w:t>
      </w:r>
      <w:r>
        <w:rPr>
          <w:sz w:val="24"/>
        </w:rPr>
        <w:t xml:space="preserve">закона</w:t>
      </w:r>
      <w:r>
        <w:rPr>
          <w:sz w:val="24"/>
        </w:rPr>
        <w:t xml:space="preserve"> от 10.07.2012 N 117-ФЗ)</w:t>
      </w:r>
    </w:p>
    <w:bookmarkStart w:id="1134" w:name="P1134"/>
    <w:bookmarkEnd w:id="1134"/>
    <w:p>
      <w:pPr>
        <w:pStyle w:val="0"/>
        <w:spacing w:before="240" w:line-rule="auto"/>
        <w:ind w:firstLine="540"/>
        <w:jc w:val="both"/>
      </w:pPr>
      <w:r>
        <w:rPr>
          <w:sz w:val="24"/>
        </w:rPr>
        <w:t xml:space="preserve">7. Системы пожарной сигнализации должны обеспечивать подачу светового и звукового сигналов о возникновении пожара на прибор приемно-контрольный пожарный, устанавливаемый в помещении дежурного персонала, или на специальные выносные устройства оповещения, а в зданиях классов функциональной пожарной опасности Ф1.1, Ф1.2, Ф4.1, Ф4.2 с автоматическим дублированием этих сигналов в подразделение пожарной охраны с использованием системы передачи извещений о пожаре.</w:t>
      </w:r>
    </w:p>
    <w:p>
      <w:pPr>
        <w:pStyle w:val="0"/>
        <w:jc w:val="both"/>
      </w:pPr>
      <w:r>
        <w:rPr>
          <w:sz w:val="24"/>
        </w:rPr>
        <w:t xml:space="preserve">(часть 7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7.1. </w:t>
      </w:r>
      <w:r>
        <w:rPr>
          <w:sz w:val="24"/>
        </w:rPr>
        <w:t xml:space="preserve">Требования</w:t>
      </w:r>
      <w:r>
        <w:rPr>
          <w:sz w:val="24"/>
        </w:rPr>
        <w:t xml:space="preserve"> к проектированию систем передачи извещений о пожаре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pPr>
        <w:pStyle w:val="0"/>
        <w:jc w:val="both"/>
      </w:pPr>
      <w:r>
        <w:rPr>
          <w:sz w:val="24"/>
        </w:rPr>
        <w:t xml:space="preserve">(часть 7.1 введена Федеральным </w:t>
      </w:r>
      <w:r>
        <w:rPr>
          <w:sz w:val="24"/>
        </w:rPr>
        <w:t xml:space="preserve">законом</w:t>
      </w:r>
      <w:r>
        <w:rPr>
          <w:sz w:val="24"/>
        </w:rPr>
        <w:t xml:space="preserve"> от 14.07.2022 N 276-ФЗ)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9. Ручные пожарные извещатели должны устанавливаться на путях эвакуации в местах, доступных для их включения при возникновении пожара.</w:t>
      </w:r>
    </w:p>
    <w:p>
      <w:pPr>
        <w:pStyle w:val="0"/>
        <w:spacing w:before="240" w:line-rule="auto"/>
        <w:ind w:firstLine="540"/>
        <w:jc w:val="both"/>
      </w:pPr>
      <w:r>
        <w:rPr>
          <w:sz w:val="24"/>
        </w:rPr>
        <w:t xml:space="preserve">10. Требования к проектированию автоматических установок пожаротушения и автоматической пожарной сигнализации устанавливаются настоящим Федеральным законом и (или) </w:t>
      </w:r>
      <w:r>
        <w:rPr>
          <w:sz w:val="24"/>
        </w:rPr>
        <w:t xml:space="preserve">нормативными документами</w:t>
      </w:r>
      <w:r>
        <w:rPr>
          <w:sz w:val="24"/>
        </w:rPr>
        <w:t xml:space="preserve"> по пожарной безопасности.</w:t>
      </w:r>
    </w:p>
    <w:p>
      <w:pPr>
        <w:pStyle w:val="0"/>
        <w:ind w:firstLine="540"/>
        <w:jc w:val="both"/>
      </w:pPr>
      <w:r>
        <w:rPr>
          <w:sz w:val="24"/>
        </w:rPr>
      </w:r>
    </w:p>
    <w:bookmarkStart w:id="1142" w:name="P1142"/>
    <w:bookmarkEnd w:id="1142"/>
    <w:p>
      <w:pPr>
        <w:pStyle w:val="2"/>
        <w:outlineLvl w:val="3"/>
        <w:ind w:firstLine="540"/>
        <w:jc w:val="both"/>
      </w:pPr>
      <w:r>
        <w:rPr>
          <w:sz w:val="24"/>
        </w:rPr>
        <w:t xml:space="preserve">Статья 84. </w:t>
      </w:r>
      <w:r>
        <w:rPr>
          <w:sz w:val="24"/>
        </w:rPr>
        <w:t xml:space="preserve">Требования</w:t>
      </w:r>
      <w:r>
        <w:rPr>
          <w:sz w:val="24"/>
        </w:rPr>
        <w:t xml:space="preserve"> пожарной безопасности к системам оповещения людей о пожаре и управления эвакуацией людей в зданиях и сооружениях</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Оповещение людей о пожаре, управление эвакуацией людей и обеспечение их безопасной эвакуации при пожаре в зданиях и сооружениях должны осуществляться одним из следующих способов или комбинацией следующих способов: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 подача световых, звуковых и (или) речевых сигналов во все помещения с постоянным или временным пребыванием людей;</w:t>
      </w:r>
    </w:p>
    <w:p>
      <w:pPr>
        <w:pStyle w:val="0"/>
        <w:spacing w:before="240" w:line-rule="auto"/>
        <w:ind w:firstLine="540"/>
        <w:jc w:val="both"/>
      </w:pPr>
      <w:r>
        <w:rPr>
          <w:sz w:val="24"/>
        </w:rPr>
        <w:t xml:space="preserve">2) 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w:t>
      </w:r>
    </w:p>
    <w:p>
      <w:pPr>
        <w:pStyle w:val="0"/>
        <w:spacing w:before="240" w:line-rule="auto"/>
        <w:ind w:firstLine="540"/>
        <w:jc w:val="both"/>
      </w:pPr>
      <w:r>
        <w:rPr>
          <w:sz w:val="24"/>
        </w:rPr>
        <w:t xml:space="preserve">3) размещение и обеспечение освещения знаков пожарной безопасности на путях эвакуации в течение нормативного времени;</w:t>
      </w:r>
    </w:p>
    <w:p>
      <w:pPr>
        <w:pStyle w:val="0"/>
        <w:spacing w:before="240" w:line-rule="auto"/>
        <w:ind w:firstLine="540"/>
        <w:jc w:val="both"/>
      </w:pPr>
      <w:r>
        <w:rPr>
          <w:sz w:val="24"/>
        </w:rPr>
        <w:t xml:space="preserve">4) включение эвакуационного (аварийного) освещения;</w:t>
      </w:r>
    </w:p>
    <w:p>
      <w:pPr>
        <w:pStyle w:val="0"/>
        <w:spacing w:before="240" w:line-rule="auto"/>
        <w:ind w:firstLine="540"/>
        <w:jc w:val="both"/>
      </w:pPr>
      <w:r>
        <w:rPr>
          <w:sz w:val="24"/>
        </w:rPr>
        <w:t xml:space="preserve">5) дистанционное открывание запоров дверей эвакуационных выходов;</w:t>
      </w:r>
    </w:p>
    <w:p>
      <w:pPr>
        <w:pStyle w:val="0"/>
        <w:spacing w:before="240" w:line-rule="auto"/>
        <w:ind w:firstLine="540"/>
        <w:jc w:val="both"/>
      </w:pPr>
      <w:r>
        <w:rPr>
          <w:sz w:val="24"/>
        </w:rPr>
        <w:t xml:space="preserve">6) обеспечение связью пожарного поста (диспетчерской) с зонами оповещения людей о пожаре;</w:t>
      </w:r>
    </w:p>
    <w:p>
      <w:pPr>
        <w:pStyle w:val="0"/>
        <w:spacing w:before="240" w:line-rule="auto"/>
        <w:ind w:firstLine="540"/>
        <w:jc w:val="both"/>
      </w:pPr>
      <w:r>
        <w:rPr>
          <w:sz w:val="24"/>
        </w:rPr>
        <w:t xml:space="preserve">7) иные способы, обеспечивающие эвакуацию.</w:t>
      </w:r>
    </w:p>
    <w:p>
      <w:pPr>
        <w:pStyle w:val="0"/>
        <w:spacing w:before="240" w:line-rule="auto"/>
        <w:ind w:firstLine="540"/>
        <w:jc w:val="both"/>
      </w:pPr>
      <w:r>
        <w:rPr>
          <w:sz w:val="24"/>
        </w:rPr>
        <w:t xml:space="preserve">2. Информация, передаваемая системами оповещения людей о пожаре и управления эвакуацией людей, должна соответствовать информации, содержащейся в разработанных и размещенных на каждом этаже зданий и сооружений </w:t>
      </w:r>
      <w:r>
        <w:rPr>
          <w:sz w:val="24"/>
        </w:rPr>
        <w:t xml:space="preserve">планах</w:t>
      </w:r>
      <w:r>
        <w:rPr>
          <w:sz w:val="24"/>
        </w:rPr>
        <w:t xml:space="preserve"> эвакуации людей.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Пожарные оповещатели, устанавливаемые на объекте, должны обеспечивать однозначное информирование людей о пожаре в течение времени эвакуации, а также выдачу дополнительной информации, отсутствие которой может привести к снижению уровня безопасности людей.</w:t>
      </w:r>
    </w:p>
    <w:p>
      <w:pPr>
        <w:pStyle w:val="0"/>
        <w:spacing w:before="240" w:line-rule="auto"/>
        <w:ind w:firstLine="540"/>
        <w:jc w:val="both"/>
      </w:pPr>
      <w:r>
        <w:rPr>
          <w:sz w:val="24"/>
        </w:rPr>
        <w:t xml:space="preserve">4. В любой точке защищаемого объекта, где требуется оповещение людей о пожаре,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защищаемого объекта, где требуется оповещение людей о пожаре, обеспечивалась разборчивость передаваемой речевой информации. Световые оповещатели должны обеспечивать контрастное восприятие информации в диапазоне, характерном для защищаемого объекта.</w:t>
      </w:r>
    </w:p>
    <w:p>
      <w:pPr>
        <w:pStyle w:val="0"/>
        <w:spacing w:before="240" w:line-rule="auto"/>
        <w:ind w:firstLine="540"/>
        <w:jc w:val="both"/>
      </w:pPr>
      <w:r>
        <w:rPr>
          <w:sz w:val="24"/>
        </w:rPr>
        <w:t xml:space="preserve">5. При разделении здания и сооружения на зоны оповещения людей о пожаре должна быть разработана специальная очередность оповещения о пожаре людей, находящихся в различных помещениях здания и сооружения.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6. Размеры зон оповещения, специальная очередность оповещения людей о пожаре и время начала оповещения людей о пожаре в отдельных зонах должны быть определены исходя из условия обеспечения безопасной эвакуации людей при пожаре.</w:t>
      </w:r>
    </w:p>
    <w:p>
      <w:pPr>
        <w:pStyle w:val="0"/>
        <w:spacing w:before="240" w:line-rule="auto"/>
        <w:ind w:firstLine="540"/>
        <w:jc w:val="both"/>
      </w:pPr>
      <w:r>
        <w:rPr>
          <w:sz w:val="24"/>
        </w:rPr>
        <w:t xml:space="preserve">7. Системы оповещения людей о пожаре и управления эвакуацией людей должны функционировать в течение времени, необходимого для завершения эвакуации людей из здания, сооружения.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8. Технические средства, используемые для оповещения людей о пожаре и управления эвакуацией людей из здания, сооружения при пожаре, должны быть разработаны с учетом состояния здоровья и возраста эвакуируемых людей.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9. Звуковые сигналы оповещения людей о пожаре должны отличаться по тональности от звуковых сигналов другого назначения.</w:t>
      </w:r>
    </w:p>
    <w:p>
      <w:pPr>
        <w:pStyle w:val="0"/>
        <w:spacing w:before="240" w:line-rule="auto"/>
        <w:ind w:firstLine="540"/>
        <w:jc w:val="both"/>
      </w:pPr>
      <w:r>
        <w:rPr>
          <w:sz w:val="24"/>
        </w:rPr>
        <w:t xml:space="preserve">10. Звуковые и речевые устройства оповещения людей о пожаре не должны иметь разъемных устройств, возможности регулировки уровня громкости и должны быть подключены к электрической сети, а также к другим средствам связи. Коммуникации систем оповещения людей о пожаре и управления эвакуацией людей допускается совмещать с радиотрансляционной сетью здания и сооружения.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11. Системы оповещения людей о пожаре и управления эвакуацией людей должны быть оборудованы источниками бесперебойного электропитания.</w:t>
      </w:r>
    </w:p>
    <w:p>
      <w:pPr>
        <w:pStyle w:val="0"/>
        <w:spacing w:before="240" w:line-rule="auto"/>
        <w:ind w:firstLine="540"/>
        <w:jc w:val="both"/>
      </w:pPr>
      <w:r>
        <w:rPr>
          <w:sz w:val="24"/>
        </w:rPr>
        <w:t xml:space="preserve">12. Здания организаций социального обслуживания, предоставляющих социальные услуги в стационарной форме, медицинских организаций, оказывающих медицинскую помощь в стационарных условиях, с учетом индивидуальных способностей людей к восприятию сигналов оповещения должны быть дополнительно оборудованы (оснащены) системами (средствами) оповещения о пожаре, в том числе с использованием персональных устройств со световым, звуковым и с вибрационным сигналами оповещения. Такие системы (средства) оповещения должны обеспечивать информирование соответствующих работников организации о передаче сигнала оповещения и подтверждение его получения каждым оповещаемым.</w:t>
      </w:r>
    </w:p>
    <w:p>
      <w:pPr>
        <w:pStyle w:val="0"/>
        <w:jc w:val="both"/>
      </w:pPr>
      <w:r>
        <w:rPr>
          <w:sz w:val="24"/>
        </w:rPr>
        <w:t xml:space="preserve">(часть 12 введена Федеральным </w:t>
      </w:r>
      <w:r>
        <w:rPr>
          <w:sz w:val="24"/>
        </w:rPr>
        <w:t xml:space="preserve">законом</w:t>
      </w:r>
      <w:r>
        <w:rPr>
          <w:sz w:val="24"/>
        </w:rPr>
        <w:t xml:space="preserve"> от 10.07.2012 N 117-ФЗ; в ред. Федерального </w:t>
      </w:r>
      <w:r>
        <w:rPr>
          <w:sz w:val="24"/>
        </w:rPr>
        <w:t xml:space="preserve">закона</w:t>
      </w:r>
      <w:r>
        <w:rPr>
          <w:sz w:val="24"/>
        </w:rPr>
        <w:t xml:space="preserve"> от 29.07.2017 N 244-ФЗ)</w:t>
      </w:r>
    </w:p>
    <w:p>
      <w:pPr>
        <w:pStyle w:val="0"/>
        <w:ind w:firstLine="540"/>
        <w:jc w:val="both"/>
      </w:pPr>
      <w:r>
        <w:rPr>
          <w:sz w:val="24"/>
        </w:rPr>
      </w:r>
    </w:p>
    <w:p>
      <w:pPr>
        <w:pStyle w:val="2"/>
        <w:outlineLvl w:val="3"/>
        <w:ind w:firstLine="540"/>
        <w:jc w:val="both"/>
      </w:pPr>
      <w:r>
        <w:rPr>
          <w:sz w:val="24"/>
        </w:rPr>
        <w:t xml:space="preserve">Статья 85. Требования к системам противодымной защиты зданий и сооружений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В зависимости от объемно-планировочных и конструктивных решений системы приточно-вытяжной противодымной вентиляции зданий и сооружений должны выполняться с естественным или механическим способом побуждения. Независимо от способа побуждения система приточно-вытяжной противодымной вентиляции должна иметь автоматический и дистанционный ручной привод исполнительных механизмов и устройств противодымной вентиляции. Объемно-планировочные решения зданий и сооружений в совокупности с системой противодымной защиты должны обеспечивать предотвращение или ограничение распространения продуктов горения за пределы помещения и (или) пожарного отсека, секции для обеспечения безопасной эвакуации людей.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3. Использование приточной противодымной вентиляции для создания избыточного давления воздуха в защищаемых помещениях, тамбур-шлюзах, лифтовых шахтах и на лестничных клетках без устройства естественной или механической вытяжной противодымной вентиляции не допускается.</w:t>
      </w:r>
    </w:p>
    <w:p>
      <w:pPr>
        <w:pStyle w:val="0"/>
        <w:jc w:val="both"/>
      </w:pPr>
      <w:r>
        <w:rPr>
          <w:sz w:val="24"/>
        </w:rPr>
        <w:t xml:space="preserve">(часть 3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4 - 5. Утратили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6. Конструктивное исполнение и характеристики элементов противодымной защиты зданий и сооружений в зависимости от целей противодымной защиты должны обеспечивать исправную работу систем приточно-вытяжной противодымной вентиляции в течение времени, необходимого для эвакуации людей в безопасную зону, или в течение всей продолжительности пожара.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7. Автоматический привод исполнительных механизмов и устройств систем приточно-вытяжной противодымной вентиляции зданий и сооружений должен осуществляться при срабатывании автоматических установок пожаротушения и (или) пожарной сигнализации.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8. Дистанционный ручной привод исполнительных механизмов и устройств систем приточно-вытяжной противодымной вентиляции зданий и сооружений должен осуществляться от пусковых элементов, расположенных у эвакуационных выходов и в помещениях пожарных постов или в помещениях диспетчерского персонала.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9. При включении систем приточно-вытяжной противодымной вентиляции зданий и сооружений при пожаре должно осуществляться обязательное отключение систем общеобменной и технологической вентиляции и кондиционирования воздуха (за исключением систем, обеспечивающих технологическую безопасность объектов).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10. Одновременная работа автоматических установок аэрозольного, порошкового или газового пожаротушения и систем противодымной вентиляции в помещении пожара не допускается.</w:t>
      </w:r>
    </w:p>
    <w:p>
      <w:pPr>
        <w:pStyle w:val="0"/>
        <w:spacing w:before="240" w:line-rule="auto"/>
        <w:ind w:firstLine="540"/>
        <w:jc w:val="both"/>
      </w:pPr>
      <w:r>
        <w:rPr>
          <w:sz w:val="24"/>
        </w:rPr>
        <w:t xml:space="preserve">11. Необходимость установки систем приточно-вытяжной противодымной вентиляции, а также требования к составу, конструктивному исполнению, пожарно-техническим характеристикам, особенностям использования и последовательности включения элементов систем приточно-вытяжной противодымной вентиляции зданий и сооружений определяются в зависимости от их функционального назначения и объемно-планировочных и конструктивных решений.</w:t>
      </w:r>
    </w:p>
    <w:p>
      <w:pPr>
        <w:pStyle w:val="0"/>
        <w:jc w:val="both"/>
      </w:pPr>
      <w:r>
        <w:rPr>
          <w:sz w:val="24"/>
        </w:rPr>
        <w:t xml:space="preserve">(часть 11 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86. Требования к внутреннему противопожарному водоснабжению</w:t>
      </w:r>
    </w:p>
    <w:p>
      <w:pPr>
        <w:pStyle w:val="0"/>
        <w:ind w:firstLine="540"/>
        <w:jc w:val="both"/>
      </w:pPr>
      <w:r>
        <w:rPr>
          <w:sz w:val="24"/>
        </w:rPr>
      </w:r>
    </w:p>
    <w:p>
      <w:pPr>
        <w:pStyle w:val="0"/>
        <w:ind w:firstLine="540"/>
        <w:jc w:val="both"/>
      </w:pPr>
      <w:r>
        <w:rPr>
          <w:sz w:val="24"/>
        </w:rPr>
        <w:t xml:space="preserve">1. Внутренний противопожарный водопровод должен обеспечивать нормативный расход воды для тушения пожаров в зданиях и сооружениях.</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Внутренний противопожарный водопровод оборудуется внутренними пожарными кранами в количестве, обеспечивающем достижение целей пожаротушения.</w:t>
      </w:r>
    </w:p>
    <w:p>
      <w:pPr>
        <w:pStyle w:val="0"/>
        <w:spacing w:before="240" w:line-rule="auto"/>
        <w:ind w:firstLine="540"/>
        <w:jc w:val="both"/>
      </w:pPr>
      <w:r>
        <w:rPr>
          <w:sz w:val="24"/>
        </w:rPr>
        <w:t xml:space="preserve">3. </w:t>
      </w:r>
      <w:r>
        <w:rPr>
          <w:sz w:val="24"/>
        </w:rPr>
        <w:t xml:space="preserve">Требования</w:t>
      </w:r>
      <w:r>
        <w:rPr>
          <w:sz w:val="24"/>
        </w:rPr>
        <w:t xml:space="preserve"> к внутреннему противопожарному водопроводу устанавливаются нормативными документами по пожарной безопасности.</w:t>
      </w:r>
    </w:p>
    <w:p>
      <w:pPr>
        <w:pStyle w:val="0"/>
        <w:ind w:firstLine="540"/>
        <w:jc w:val="both"/>
      </w:pPr>
      <w:r>
        <w:rPr>
          <w:sz w:val="24"/>
        </w:rPr>
      </w:r>
    </w:p>
    <w:bookmarkStart w:id="1200" w:name="P1200"/>
    <w:bookmarkEnd w:id="1200"/>
    <w:p>
      <w:pPr>
        <w:pStyle w:val="2"/>
        <w:outlineLvl w:val="3"/>
        <w:ind w:firstLine="540"/>
        <w:jc w:val="both"/>
      </w:pPr>
      <w:r>
        <w:rPr>
          <w:sz w:val="24"/>
        </w:rPr>
        <w:t xml:space="preserve">Статья 87. Требования к огнестойкости и пожарной опасности зданий, сооружений и пожарных отсеков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Степень огнестойкости зданий, сооружений и пожарных отсеков должна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Пределы огнестойкости строительных конструкций должны соответствовать принятой степени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приведено в </w:t>
      </w:r>
      <w:hyperlink w:history="0" w:anchor="P2948" w:tooltip="Соответствие степени огнестойкости и предела огнестойкости">
        <w:r>
          <w:rPr>
            <w:sz w:val="24"/>
            <w:color w:val="0000ff"/>
          </w:rPr>
          <w:t xml:space="preserve">таблице 21</w:t>
        </w:r>
      </w:hyperlink>
      <w:r>
        <w:rPr>
          <w:sz w:val="24"/>
        </w:rPr>
        <w:t xml:space="preserve"> приложения к настоящему Федеральному закону.</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p>
      <w:pPr>
        <w:pStyle w:val="0"/>
        <w:spacing w:before="240" w:line-rule="auto"/>
        <w:ind w:firstLine="540"/>
        <w:jc w:val="both"/>
      </w:pPr>
      <w:r>
        <w:rPr>
          <w:sz w:val="24"/>
        </w:rPr>
        <w:t xml:space="preserve">4. На незадымляемых лестничных клетках типа Н1 допускается предусматривать лестничные площадки и марши с пределом огнестойкости R15 класса пожарной опасности К0.</w:t>
      </w:r>
    </w:p>
    <w:p>
      <w:pPr>
        <w:pStyle w:val="0"/>
        <w:spacing w:before="240" w:line-rule="auto"/>
        <w:ind w:firstLine="540"/>
        <w:jc w:val="both"/>
      </w:pPr>
      <w:r>
        <w:rPr>
          <w:sz w:val="24"/>
        </w:rPr>
        <w:t xml:space="preserve">5. Класс конструктивной пожарной опасности зданий, сооружений и пожарных отсеков должен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6. Класс пожарной опасности строительных конструкций должен соответствовать принятому классу конструктивной пожарной опасности зданий, сооружений и пожарных отсеков. Соответствие класса конструктивной пожарной опасности зданий, сооружений и пожарных отсеков классу пожарной опасности применяемых в них строительных конструкций приведено в </w:t>
      </w:r>
      <w:hyperlink w:history="0" w:anchor="P3012" w:tooltip="Соответствие класса конструктивной пожарной опасности">
        <w:r>
          <w:rPr>
            <w:sz w:val="24"/>
            <w:color w:val="0000ff"/>
          </w:rPr>
          <w:t xml:space="preserve">таблице 22</w:t>
        </w:r>
      </w:hyperlink>
      <w:r>
        <w:rPr>
          <w:sz w:val="24"/>
        </w:rPr>
        <w:t xml:space="preserve"> приложения к настоящему Федеральному закону.</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7. Пожарная опасность заполнения проемов в ограждающих конструкциях зданий, сооружений (дверей, ворот, окон и люков) не нормируется, за исключением проемов в противопожарных преградах.</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8. Для зданий и сооружений класса функциональной пожарной опасности Ф1.1 должны применяться системы наружного утепления класса пожарной опасности К0.</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9. Пределы огнестойкости и классы пожарной опасности строительных конструкций должны определяться в условиях стандартных испытаний по </w:t>
      </w:r>
      <w:r>
        <w:rPr>
          <w:sz w:val="24"/>
        </w:rPr>
        <w:t xml:space="preserve">методикам</w:t>
      </w:r>
      <w:r>
        <w:rPr>
          <w:sz w:val="24"/>
        </w:rPr>
        <w:t xml:space="preserve">, установленным нормативными документами по пожарной безопасности.</w:t>
      </w:r>
    </w:p>
    <w:p>
      <w:pPr>
        <w:pStyle w:val="0"/>
        <w:spacing w:before="240" w:line-rule="auto"/>
        <w:ind w:firstLine="540"/>
        <w:jc w:val="both"/>
      </w:pPr>
      <w:r>
        <w:rPr>
          <w:sz w:val="24"/>
        </w:rPr>
        <w:t xml:space="preserve">10. Пределы огнестойкости и классы пожарной опасности строительных конструкций, аналогичных по форме, материалам, конструктивному исполнению строительным конструкциям, прошедшим огневые испытания, могут определяться расчетно-аналитическим методом, установленным нормативными документами по пожарной безопасности.</w:t>
      </w:r>
    </w:p>
    <w:p>
      <w:pPr>
        <w:pStyle w:val="0"/>
        <w:spacing w:before="240" w:line-rule="auto"/>
        <w:ind w:firstLine="540"/>
        <w:jc w:val="both"/>
      </w:pPr>
      <w:r>
        <w:rPr>
          <w:sz w:val="24"/>
        </w:rPr>
        <w:t xml:space="preserve">11. В зданиях и сооружениях I - III степеней огнестойкости, кроме малоэтажных жилых домов (до трех этажей включительно), отвечающих требованиям законодательства Российской Федерации о градостроительной деятельности, не допускается выполнять отделку внешних поверхностей наружных стен из материалов групп горючести Г2 - Г4, а фасадные системы не должны распространять горение.</w:t>
      </w:r>
    </w:p>
    <w:p>
      <w:pPr>
        <w:pStyle w:val="0"/>
        <w:jc w:val="both"/>
      </w:pPr>
      <w:r>
        <w:rPr>
          <w:sz w:val="24"/>
        </w:rPr>
        <w:t xml:space="preserve">(часть 11 введена Федеральным </w:t>
      </w:r>
      <w:r>
        <w:rPr>
          <w:sz w:val="24"/>
        </w:rPr>
        <w:t xml:space="preserve">законом</w:t>
      </w:r>
      <w:r>
        <w:rPr>
          <w:sz w:val="24"/>
        </w:rPr>
        <w:t xml:space="preserve"> от 10.07.2012 N 117-ФЗ)</w:t>
      </w:r>
    </w:p>
    <w:p>
      <w:pPr>
        <w:pStyle w:val="0"/>
        <w:ind w:firstLine="540"/>
        <w:jc w:val="both"/>
      </w:pPr>
      <w:r>
        <w:rPr>
          <w:sz w:val="24"/>
        </w:rPr>
      </w:r>
    </w:p>
    <w:bookmarkStart w:id="1222" w:name="P1222"/>
    <w:bookmarkEnd w:id="1222"/>
    <w:p>
      <w:pPr>
        <w:pStyle w:val="2"/>
        <w:outlineLvl w:val="3"/>
        <w:ind w:firstLine="540"/>
        <w:jc w:val="both"/>
      </w:pPr>
      <w:r>
        <w:rPr>
          <w:sz w:val="24"/>
        </w:rPr>
        <w:t xml:space="preserve">Статья 88. Требования к ограничению распространения пожара в зданиях, сооружениях, пожарных отсеках</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w:t>
      </w:r>
      <w:hyperlink w:history="0" w:anchor="P529" w:tooltip="Статья 32. Классификация зданий, сооружений и пожарных отсеков по функциональной пожарной опасности">
        <w:r>
          <w:rPr>
            <w:sz w:val="24"/>
            <w:color w:val="0000ff"/>
          </w:rPr>
          <w:t xml:space="preserve">классов</w:t>
        </w:r>
      </w:hyperlink>
      <w:r>
        <w:rPr>
          <w:sz w:val="24"/>
        </w:rPr>
        <w:t xml:space="preserve"> функциональной пожарной опасности помещений, величины пожарной нагрузки, степени огнестойкости и </w:t>
      </w:r>
      <w:hyperlink w:history="0" w:anchor="P521" w:tooltip="Статья 31. Классификация зданий, сооружений и пожарных отсеков по конструктивной пожарной опасности">
        <w:r>
          <w:rPr>
            <w:sz w:val="24"/>
            <w:color w:val="0000ff"/>
          </w:rPr>
          <w:t xml:space="preserve">класса</w:t>
        </w:r>
      </w:hyperlink>
      <w:r>
        <w:rPr>
          <w:sz w:val="24"/>
        </w:rPr>
        <w:t xml:space="preserve"> конструктивной пожарной опасности здания, сооружения, пожарного отсека.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w:t>
      </w:r>
      <w:hyperlink w:history="0" w:anchor="P3054" w:tooltip="Пределы огнестойкости противопожарных преград">
        <w:r>
          <w:rPr>
            <w:sz w:val="24"/>
            <w:color w:val="0000ff"/>
          </w:rPr>
          <w:t xml:space="preserve">таблице 23</w:t>
        </w:r>
      </w:hyperlink>
      <w:r>
        <w:rPr>
          <w:sz w:val="24"/>
        </w:rPr>
        <w:t xml:space="preserve"> приложения к настоящему Федеральному закону.</w:t>
      </w:r>
    </w:p>
    <w:p>
      <w:pPr>
        <w:pStyle w:val="0"/>
        <w:spacing w:before="240" w:line-rule="auto"/>
        <w:ind w:firstLine="540"/>
        <w:jc w:val="both"/>
      </w:pPr>
      <w:r>
        <w:rPr>
          <w:sz w:val="24"/>
        </w:rPr>
        <w:t xml:space="preserve">3. Пределы огнестойкости для соответствующих типов заполнения проемов в противопожарных преградах приведены в </w:t>
      </w:r>
      <w:hyperlink w:history="0" w:anchor="P3108" w:tooltip="Пределы огнестойкости заполнения проемов">
        <w:r>
          <w:rPr>
            <w:sz w:val="24"/>
            <w:color w:val="0000ff"/>
          </w:rPr>
          <w:t xml:space="preserve">таблице 24</w:t>
        </w:r>
      </w:hyperlink>
      <w:r>
        <w:rPr>
          <w:sz w:val="24"/>
        </w:rPr>
        <w:t xml:space="preserve"> приложения к настоящему Федеральному закону.</w:t>
      </w:r>
    </w:p>
    <w:p>
      <w:pPr>
        <w:pStyle w:val="0"/>
        <w:spacing w:before="240" w:line-rule="auto"/>
        <w:ind w:firstLine="540"/>
        <w:jc w:val="both"/>
      </w:pPr>
      <w:r>
        <w:rPr>
          <w:sz w:val="24"/>
        </w:rPr>
        <w:t xml:space="preserve">4. Требования к элементам тамбур-шлюзов различных типов приведены в </w:t>
      </w:r>
      <w:hyperlink w:history="0" w:anchor="P3159" w:tooltip="Требования к элементам тамбур-шлюза">
        <w:r>
          <w:rPr>
            <w:sz w:val="24"/>
            <w:color w:val="0000ff"/>
          </w:rPr>
          <w:t xml:space="preserve">таблице 25</w:t>
        </w:r>
      </w:hyperlink>
      <w:r>
        <w:rPr>
          <w:sz w:val="24"/>
        </w:rPr>
        <w:t xml:space="preserve"> приложения к настоящему Федеральному закону.</w:t>
      </w:r>
    </w:p>
    <w:p>
      <w:pPr>
        <w:pStyle w:val="0"/>
        <w:spacing w:before="240" w:line-rule="auto"/>
        <w:ind w:firstLine="540"/>
        <w:jc w:val="both"/>
      </w:pPr>
      <w:r>
        <w:rPr>
          <w:sz w:val="24"/>
        </w:rPr>
        <w:t xml:space="preserve">5. Противопожарные стены должны возводиться на всю высоту здания или сооружения либо до противопожарных перекрытий 1-го типа и обеспечивать нераспространение пожара в смежный пожарный отсек, в том числе при одностороннем обрушении конструкций здания или сооружения со стороны очага пожара.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6. Места сопряжения противопожарных стен, перекрытий и перегородок с другими ограждающими конструкциями здания, сооружения, пожарного отсека должны иметь предел огнестойкости не менее предела огнестойкости сопрягаемых преград.</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7. Конструктивное исполнение мест сопряжения противопожарных стен с другими стенами зданий и сооружений должно исключать возможность распространения пожара в обход этих преград.</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8. Окна в противопожарных преградах должны быть неоткрывающимися, а противопожарные двери и ворота должны иметь устройства для самозакрывания. Противопожарные двери, ворота, шторы,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p>
      <w:pPr>
        <w:pStyle w:val="0"/>
        <w:spacing w:before="240" w:line-rule="auto"/>
        <w:ind w:firstLine="540"/>
        <w:jc w:val="both"/>
      </w:pPr>
      <w:r>
        <w:rPr>
          <w:sz w:val="24"/>
        </w:rPr>
        <w:t xml:space="preserve">9. Общая площадь проемов в противопожарных преградах не должна превышать 25 процентов их площади.</w:t>
      </w:r>
    </w:p>
    <w:p>
      <w:pPr>
        <w:pStyle w:val="0"/>
        <w:spacing w:before="240" w:line-rule="auto"/>
        <w:ind w:firstLine="540"/>
        <w:jc w:val="both"/>
      </w:pPr>
      <w:r>
        <w:rPr>
          <w:sz w:val="24"/>
        </w:rPr>
        <w:t xml:space="preserve">10. В противопожарных преградах, отделяющих помещения категорий А и Б от помещений других категорий, коридоров, лестничных клеток и лифтовых холлов, должны быть предусмотрены тамбур-шлюзы с постоянным подпором воздуха. Устройство общих тамбур-шлюзов для двух и более смежных помещений категорий А и Б не допускается.</w:t>
      </w:r>
    </w:p>
    <w:p>
      <w:pPr>
        <w:pStyle w:val="0"/>
        <w:spacing w:before="240" w:line-rule="auto"/>
        <w:ind w:firstLine="540"/>
        <w:jc w:val="both"/>
      </w:pPr>
      <w:r>
        <w:rPr>
          <w:sz w:val="24"/>
        </w:rPr>
        <w:t xml:space="preserve">11. При невозможности устройства тамбур-шлюзов в противопожарных преградах, отделяющих помещения категорий А и Б от других помещений, или противопожарных дверей, ворот, штор, люков и клапанов в противопожарных преградах, отделяющих помещения категории В от других помещений, следует предусматривать комплекс мероприятий по предотвращению распространения пожара на смежные этажи и в смежные помещения.</w:t>
      </w:r>
    </w:p>
    <w:p>
      <w:pPr>
        <w:pStyle w:val="0"/>
        <w:spacing w:before="240" w:line-rule="auto"/>
        <w:ind w:firstLine="540"/>
        <w:jc w:val="both"/>
      </w:pPr>
      <w:r>
        <w:rPr>
          <w:sz w:val="24"/>
        </w:rPr>
        <w:t xml:space="preserve">12. В проемах противопожарных преград, которые не могут закрываться противопожарными дверями или воротами, для сообщения между смежными помещениями категории В или Г и помещениями категории Д должно быть предусмотрено устройство открытых тамбуров, оборудованных установками автоматического пожаротушения, или должны быть установлены вместо дверей и ворот противопожарные шторы, экраны. Ограждающие конструкции этих тамбуров должны быть противопожарными.</w:t>
      </w:r>
    </w:p>
    <w:p>
      <w:pPr>
        <w:pStyle w:val="0"/>
        <w:spacing w:before="240" w:line-rule="auto"/>
        <w:ind w:firstLine="540"/>
        <w:jc w:val="both"/>
      </w:pPr>
      <w:r>
        <w:rPr>
          <w:sz w:val="24"/>
        </w:rPr>
        <w:t xml:space="preserve">13. Противопожарные шторы и экраны должны выполняться из материалов группы горючести НГ.</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14. Не допускается пересекать противопожарные стены и перекрытия 1-го типа каналами, шахтами и трубопроводами для транспортирования горючих газов, пылевоздушных смесей, жидкостей, иных веществ и материалов. В местах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w:t>
      </w:r>
    </w:p>
    <w:p>
      <w:pPr>
        <w:pStyle w:val="0"/>
        <w:spacing w:before="240" w:line-rule="auto"/>
        <w:ind w:firstLine="540"/>
        <w:jc w:val="both"/>
      </w:pPr>
      <w:r>
        <w:rPr>
          <w:sz w:val="24"/>
        </w:rPr>
        <w:t xml:space="preserve">15. Ограждающие конструкции лифтовых шахт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1-го типа и перекрытиям 3-го типа. Предел огнестойкости ограждающих конструкций между шахтой лифта и машинным отделением лифта не нормируется.</w:t>
      </w:r>
    </w:p>
    <w:p>
      <w:pPr>
        <w:pStyle w:val="0"/>
        <w:spacing w:before="240" w:line-rule="auto"/>
        <w:ind w:firstLine="540"/>
        <w:jc w:val="both"/>
      </w:pPr>
      <w:r>
        <w:rPr>
          <w:sz w:val="24"/>
        </w:rPr>
        <w:t xml:space="preserve">16. Дверные проемы в ограждениях лифтовых шахт с выходами из них в коридоры и другие помещения, кроме лестничных клеток, должны защищаться противопожарными дверями с пределом огнестойкости не менее EI 30 или экранами из негорючих материалов с пределом огнестойкости не менее EI 45, автоматически закрывающими дверные проемы лифтовых шахт при пожаре, либо лифтовые шахты в зданиях и сооружениях должны отделяться от коридоров, лестничных клеток и других помещений тамбурами или холлами с противопожарными перегородками 1-го типа и перекрытиями 3-го типа.</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17. В зданиях и сооружениях высотой 28 метров и более шахты лифтов, не имеющие у выхода из них тамбур-шлюзов с избыточным давлением воздуха или лифтовых холлов с подпором воздуха при пожаре, должны быть оборудованы системой создания избыточного давления воздуха в шахте лифта.</w:t>
      </w:r>
    </w:p>
    <w:p>
      <w:pPr>
        <w:pStyle w:val="0"/>
        <w:jc w:val="both"/>
      </w:pPr>
      <w:r>
        <w:rPr>
          <w:sz w:val="24"/>
        </w:rPr>
        <w:t xml:space="preserve">(часть 17 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18. Утратил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19. Объемно-планировочные решения и конструктивное исполнение лестниц и лестничных клеток должны обеспечивать безопасную эвакуацию людей из зданий, сооружений при пожаре и препятствовать распространению пожара между этажами.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20. В подземных этажах зданий и сооружений вход в лифт должен осуществляться через тамбур-шлюзы 1-го типа с избыточным давлением воздуха при пожаре.</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89. </w:t>
      </w:r>
      <w:r>
        <w:rPr>
          <w:sz w:val="24"/>
        </w:rPr>
        <w:t xml:space="preserve">Требования</w:t>
      </w:r>
      <w:r>
        <w:rPr>
          <w:sz w:val="24"/>
        </w:rPr>
        <w:t xml:space="preserve"> пожарной безопасности к эвакуационным путям, эвакуационным и аварийным выходам</w:t>
      </w:r>
    </w:p>
    <w:p>
      <w:pPr>
        <w:pStyle w:val="0"/>
        <w:ind w:firstLine="540"/>
        <w:jc w:val="both"/>
      </w:pPr>
      <w:r>
        <w:rPr>
          <w:sz w:val="24"/>
        </w:rPr>
      </w:r>
    </w:p>
    <w:p>
      <w:pPr>
        <w:pStyle w:val="0"/>
        <w:ind w:firstLine="540"/>
        <w:jc w:val="both"/>
      </w:pPr>
      <w:r>
        <w:rPr>
          <w:sz w:val="24"/>
        </w:rPr>
        <w:t xml:space="preserve">1. Эвакуационные пути в зданиях и сооружениях и выходы из зданий и сооружений должны обеспечивать безопасную эвакуацию людей. Расчет эвакуационных путей и выходов производится без учета применяемых в них средств пожаротушения.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Размещение помещений с массовым пребыванием людей, в том числе детей и групп населения с ограниченными возможностями передвижения, и применение пожароопасных строительных материалов в конструктивных элементах путей эвакуации должны определяться техническими регламентами, принятыми в соответствии с Федеральным </w:t>
      </w:r>
      <w:r>
        <w:rPr>
          <w:sz w:val="24"/>
        </w:rPr>
        <w:t xml:space="preserve">законом</w:t>
      </w:r>
      <w:r>
        <w:rPr>
          <w:sz w:val="24"/>
        </w:rPr>
        <w:t xml:space="preserve"> "О техническом регулировании".</w:t>
      </w:r>
    </w:p>
    <w:p>
      <w:pPr>
        <w:pStyle w:val="0"/>
        <w:jc w:val="both"/>
      </w:pPr>
      <w:r>
        <w:rPr>
          <w:sz w:val="24"/>
        </w:rPr>
        <w:t xml:space="preserve">(часть 2 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Выходы являются эвакуационными, если они ведут:</w:t>
      </w:r>
    </w:p>
    <w:bookmarkStart w:id="1262" w:name="P1262"/>
    <w:bookmarkEnd w:id="1262"/>
    <w:p>
      <w:pPr>
        <w:pStyle w:val="0"/>
        <w:spacing w:before="240" w:line-rule="auto"/>
        <w:ind w:firstLine="540"/>
        <w:jc w:val="both"/>
      </w:pPr>
      <w:r>
        <w:rPr>
          <w:sz w:val="24"/>
        </w:rPr>
        <w:t xml:space="preserve">1) из помещений первого, подвального или цокольного этажа наружу:</w:t>
      </w:r>
    </w:p>
    <w:p>
      <w:pPr>
        <w:pStyle w:val="0"/>
        <w:spacing w:before="240" w:line-rule="auto"/>
        <w:ind w:firstLine="540"/>
        <w:jc w:val="both"/>
      </w:pPr>
      <w:r>
        <w:rPr>
          <w:sz w:val="24"/>
        </w:rPr>
        <w:t xml:space="preserve">а) непосредственно;</w:t>
      </w:r>
    </w:p>
    <w:p>
      <w:pPr>
        <w:pStyle w:val="0"/>
        <w:spacing w:before="240" w:line-rule="auto"/>
        <w:ind w:firstLine="540"/>
        <w:jc w:val="both"/>
      </w:pPr>
      <w:r>
        <w:rPr>
          <w:sz w:val="24"/>
        </w:rPr>
        <w:t xml:space="preserve">б) через коридор;</w:t>
      </w:r>
    </w:p>
    <w:p>
      <w:pPr>
        <w:pStyle w:val="0"/>
        <w:spacing w:before="240" w:line-rule="auto"/>
        <w:ind w:firstLine="540"/>
        <w:jc w:val="both"/>
      </w:pPr>
      <w:r>
        <w:rPr>
          <w:sz w:val="24"/>
        </w:rPr>
        <w:t xml:space="preserve">в) через вестибюль (фойе);</w:t>
      </w:r>
    </w:p>
    <w:p>
      <w:pPr>
        <w:pStyle w:val="0"/>
        <w:spacing w:before="240" w:line-rule="auto"/>
        <w:ind w:firstLine="540"/>
        <w:jc w:val="both"/>
      </w:pPr>
      <w:r>
        <w:rPr>
          <w:sz w:val="24"/>
        </w:rPr>
        <w:t xml:space="preserve">г) через лестничную клетку;</w:t>
      </w:r>
    </w:p>
    <w:p>
      <w:pPr>
        <w:pStyle w:val="0"/>
        <w:spacing w:before="240" w:line-rule="auto"/>
        <w:ind w:firstLine="540"/>
        <w:jc w:val="both"/>
      </w:pPr>
      <w:r>
        <w:rPr>
          <w:sz w:val="24"/>
        </w:rPr>
        <w:t xml:space="preserve">д) через коридор и вестибюль (фойе);</w:t>
      </w:r>
    </w:p>
    <w:p>
      <w:pPr>
        <w:pStyle w:val="0"/>
        <w:spacing w:before="240" w:line-rule="auto"/>
        <w:ind w:firstLine="540"/>
        <w:jc w:val="both"/>
      </w:pPr>
      <w:r>
        <w:rPr>
          <w:sz w:val="24"/>
        </w:rPr>
        <w:t xml:space="preserve">е) через коридор, холл (рекреационную площадку) и лестничную клетку;</w:t>
      </w:r>
    </w:p>
    <w:bookmarkStart w:id="1269" w:name="P1269"/>
    <w:bookmarkEnd w:id="1269"/>
    <w:p>
      <w:pPr>
        <w:pStyle w:val="0"/>
        <w:spacing w:before="240" w:line-rule="auto"/>
        <w:ind w:firstLine="540"/>
        <w:jc w:val="both"/>
      </w:pPr>
      <w:r>
        <w:rPr>
          <w:sz w:val="24"/>
        </w:rPr>
        <w:t xml:space="preserve">2) из помещений любого этажа, кроме первого, подвального и цокольного:</w:t>
      </w:r>
    </w:p>
    <w:p>
      <w:pPr>
        <w:pStyle w:val="0"/>
        <w:spacing w:before="240" w:line-rule="auto"/>
        <w:ind w:firstLine="540"/>
        <w:jc w:val="both"/>
      </w:pPr>
      <w:r>
        <w:rPr>
          <w:sz w:val="24"/>
        </w:rPr>
        <w:t xml:space="preserve">а) непосредственно на лестничную клетку при условиях, установленных нормативными документами по пожарной безопасности;</w:t>
      </w:r>
    </w:p>
    <w:p>
      <w:pPr>
        <w:pStyle w:val="0"/>
        <w:spacing w:before="240" w:line-rule="auto"/>
        <w:ind w:firstLine="540"/>
        <w:jc w:val="both"/>
      </w:pPr>
      <w:r>
        <w:rPr>
          <w:sz w:val="24"/>
        </w:rPr>
        <w:t xml:space="preserve">б) непосредственно наружу или на лестницу 3-го типа;</w:t>
      </w:r>
    </w:p>
    <w:p>
      <w:pPr>
        <w:pStyle w:val="0"/>
        <w:spacing w:before="240" w:line-rule="auto"/>
        <w:ind w:firstLine="540"/>
        <w:jc w:val="both"/>
      </w:pPr>
      <w:r>
        <w:rPr>
          <w:sz w:val="24"/>
        </w:rPr>
        <w:t xml:space="preserve">в) в коридор, ведущий непосредственно либо через холл (рекреационную площадку) на лестничную клетку или на лестницу 3-го типа;</w:t>
      </w:r>
    </w:p>
    <w:p>
      <w:pPr>
        <w:pStyle w:val="0"/>
        <w:spacing w:before="240" w:line-rule="auto"/>
        <w:ind w:firstLine="540"/>
        <w:jc w:val="both"/>
      </w:pPr>
      <w:r>
        <w:rPr>
          <w:sz w:val="24"/>
        </w:rPr>
        <w:t xml:space="preserve">г) в холл (на рекреационную площадку), фойе, имеющие выход непосредственно на лестничную клетку или на лестницу 3-го типа;</w:t>
      </w:r>
    </w:p>
    <w:p>
      <w:pPr>
        <w:pStyle w:val="0"/>
        <w:spacing w:before="240" w:line-rule="auto"/>
        <w:ind w:firstLine="540"/>
        <w:jc w:val="both"/>
      </w:pPr>
      <w:r>
        <w:rPr>
          <w:sz w:val="24"/>
        </w:rPr>
        <w:t xml:space="preserve">д) на эксплуатируемую кровлю или специально оборудованный участок кровли, который ведет на лестничную клетку или на лестницу 3-го типа, в том числе через коридор;</w:t>
      </w:r>
    </w:p>
    <w:p>
      <w:pPr>
        <w:pStyle w:val="0"/>
        <w:spacing w:before="240" w:line-rule="auto"/>
        <w:ind w:firstLine="540"/>
        <w:jc w:val="both"/>
      </w:pPr>
      <w:r>
        <w:rPr>
          <w:sz w:val="24"/>
        </w:rPr>
        <w:t xml:space="preserve">3) в соседнее помещение (кроме помещения класса Ф5 категории А или Б) на том же этаже, обеспеченное выходами, указанными в </w:t>
      </w:r>
      <w:hyperlink w:history="0" w:anchor="P1262" w:tooltip="1) из помещений первого, подвального или цокольного этажа наружу:">
        <w:r>
          <w:rPr>
            <w:sz w:val="24"/>
            <w:color w:val="0000ff"/>
          </w:rPr>
          <w:t xml:space="preserve">пунктах 1</w:t>
        </w:r>
      </w:hyperlink>
      <w:r>
        <w:rPr>
          <w:sz w:val="24"/>
        </w:rPr>
        <w:t xml:space="preserve"> и </w:t>
      </w:r>
      <w:hyperlink w:history="0" w:anchor="P1269" w:tooltip="2) из помещений любого этажа, кроме первого, подвального и цокольного:">
        <w:r>
          <w:rPr>
            <w:sz w:val="24"/>
            <w:color w:val="0000ff"/>
          </w:rPr>
          <w:t xml:space="preserve">2</w:t>
        </w:r>
      </w:hyperlink>
      <w:r>
        <w:rPr>
          <w:sz w:val="24"/>
        </w:rPr>
        <w:t xml:space="preserve"> настоящей части. Выход из технического помещения без постоянных рабочих мест в помещение категории А или Б считается эвакуационным, если в техническом помещении размещается оборудование по обслуживанию этого пожароопасного помещения.</w:t>
      </w:r>
    </w:p>
    <w:p>
      <w:pPr>
        <w:pStyle w:val="0"/>
        <w:jc w:val="both"/>
      </w:pPr>
      <w:r>
        <w:rPr>
          <w:sz w:val="24"/>
        </w:rPr>
        <w:t xml:space="preserve">(часть 3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3.1. При устройстве эвакуационных путей и выходов допускается:</w:t>
      </w:r>
    </w:p>
    <w:p>
      <w:pPr>
        <w:pStyle w:val="0"/>
        <w:spacing w:before="240" w:line-rule="auto"/>
        <w:ind w:firstLine="540"/>
        <w:jc w:val="both"/>
      </w:pPr>
      <w:r>
        <w:rPr>
          <w:sz w:val="24"/>
        </w:rPr>
        <w:t xml:space="preserve">1) предусматривать эвакуационные выходы из помещений непосредственно на лестницу 2-го типа, в коридор или холл (на рекреационную площадку), вестибюль (фойе), ведущие на такую лестницу при условиях, установленных нормативными документами по пожарной безопасности;</w:t>
      </w:r>
    </w:p>
    <w:p>
      <w:pPr>
        <w:pStyle w:val="0"/>
        <w:spacing w:before="240" w:line-rule="auto"/>
        <w:ind w:firstLine="540"/>
        <w:jc w:val="both"/>
      </w:pPr>
      <w:r>
        <w:rPr>
          <w:sz w:val="24"/>
        </w:rPr>
        <w:t xml:space="preserve">2) предусматривать эвакуационные выходы с эксплуатируемой кровли в соответствии с требованиями </w:t>
      </w:r>
      <w:hyperlink w:history="0" w:anchor="P1269" w:tooltip="2) из помещений любого этажа, кроме первого, подвального и цокольного:">
        <w:r>
          <w:rPr>
            <w:sz w:val="24"/>
            <w:color w:val="0000ff"/>
          </w:rPr>
          <w:t xml:space="preserve">пункта 2 части 3</w:t>
        </w:r>
      </w:hyperlink>
      <w:r>
        <w:rPr>
          <w:sz w:val="24"/>
        </w:rPr>
        <w:t xml:space="preserve"> настоящей статьи.</w:t>
      </w:r>
    </w:p>
    <w:p>
      <w:pPr>
        <w:pStyle w:val="0"/>
        <w:jc w:val="both"/>
      </w:pPr>
      <w:r>
        <w:rPr>
          <w:sz w:val="24"/>
        </w:rPr>
        <w:t xml:space="preserve">(часть 3.1 введена Федеральным </w:t>
      </w:r>
      <w:r>
        <w:rPr>
          <w:sz w:val="24"/>
        </w:rPr>
        <w:t xml:space="preserve">законом</w:t>
      </w:r>
      <w:r>
        <w:rPr>
          <w:sz w:val="24"/>
        </w:rPr>
        <w:t xml:space="preserve"> от 14.07.2022 N 276-ФЗ)</w:t>
      </w:r>
    </w:p>
    <w:bookmarkStart w:id="1281" w:name="P1281"/>
    <w:bookmarkEnd w:id="1281"/>
    <w:p>
      <w:pPr>
        <w:pStyle w:val="0"/>
        <w:spacing w:before="240" w:line-rule="auto"/>
        <w:ind w:firstLine="540"/>
        <w:jc w:val="both"/>
      </w:pPr>
      <w:r>
        <w:rPr>
          <w:sz w:val="24"/>
        </w:rPr>
        <w:t xml:space="preserve">4. Эвакуационные выходы из помещений подвальных этажей следует предусматривать ведущими непосредственно наружу и обособленными от общих лестничных клеток здания. Выходы из помещений цокольных этажей следует предусматривать обособленными при условиях, установленных нормативными документами по пожарной безопасности. Допускается предусматривать:</w:t>
      </w:r>
    </w:p>
    <w:p>
      <w:pPr>
        <w:pStyle w:val="0"/>
        <w:spacing w:before="240" w:line-rule="auto"/>
        <w:ind w:firstLine="540"/>
        <w:jc w:val="both"/>
      </w:pPr>
      <w:r>
        <w:rPr>
          <w:sz w:val="24"/>
        </w:rPr>
        <w:t xml:space="preserve">1) эвакуационные выходы из помещений подвальных этажей через общие лестничные клетки с обособленным выходом наружу, отделенным от остальной части лестничной клетки глухой противопожарной перегородкой 1-го типа;</w:t>
      </w:r>
    </w:p>
    <w:p>
      <w:pPr>
        <w:pStyle w:val="0"/>
        <w:spacing w:before="240" w:line-rule="auto"/>
        <w:ind w:firstLine="540"/>
        <w:jc w:val="both"/>
      </w:pPr>
      <w:r>
        <w:rPr>
          <w:sz w:val="24"/>
        </w:rPr>
        <w:t xml:space="preserve">2) эвакуационные выходы из помещений подвальных этажей с помещениями категорий В1 - В4, Г и Д ведущими в помещения категорий В1 - В4, Г и Д и (или) вестибюль, расположенные на первом этаже зданий класса Ф5;</w:t>
      </w:r>
    </w:p>
    <w:p>
      <w:pPr>
        <w:pStyle w:val="0"/>
        <w:spacing w:before="240" w:line-rule="auto"/>
        <w:ind w:firstLine="540"/>
        <w:jc w:val="both"/>
      </w:pPr>
      <w:r>
        <w:rPr>
          <w:sz w:val="24"/>
        </w:rPr>
        <w:t xml:space="preserve">3) эвакуационные выходы из фойе, гардеробных, курительных и санитарных помещений, размещенных в подвальных и цокольных этажах зданий классов Ф2, Ф3 и Ф4, ведущими в вестибюль первого этажа по отдельным лестницам 2-го типа при условиях, установленных нормативными документами по пожарной безопасности.</w:t>
      </w:r>
    </w:p>
    <w:p>
      <w:pPr>
        <w:pStyle w:val="0"/>
        <w:jc w:val="both"/>
      </w:pPr>
      <w:r>
        <w:rPr>
          <w:sz w:val="24"/>
        </w:rPr>
        <w:t xml:space="preserve">(часть 4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8. Количество и ширина эвакуационных выходов из помещений с этажей и из зданий определяются в зависимости от максимально возможного числа эвакуируемых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10. 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w:t>
      </w:r>
    </w:p>
    <w:p>
      <w:pPr>
        <w:pStyle w:val="0"/>
        <w:spacing w:before="240" w:line-rule="auto"/>
        <w:ind w:firstLine="540"/>
        <w:jc w:val="both"/>
      </w:pPr>
      <w:r>
        <w:rPr>
          <w:sz w:val="24"/>
        </w:rPr>
        <w:t xml:space="preserve">11. Число эвакуационных выходов из здания и сооружения должно быть не менее числа эвакуационных выходов с любого этажа здания и сооружения.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12. Предельно допустимое расстояние от наиболее удаленной точки помещения (для зданий и сооружений класса Ф5 -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и сооружения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и сооружения.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13. Утратил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14. Эвакуационные пути (за исключением эвакуационных путей подземных сооружений метрополитена, горнодобывающих предприятий, шахт) не должны включать в себя лифты, эскалаторы, а также участки, ведущие:</w:t>
      </w:r>
    </w:p>
    <w:p>
      <w:pPr>
        <w:pStyle w:val="0"/>
        <w:spacing w:before="240" w:line-rule="auto"/>
        <w:ind w:firstLine="540"/>
        <w:jc w:val="both"/>
      </w:pPr>
      <w:r>
        <w:rPr>
          <w:sz w:val="24"/>
        </w:rPr>
        <w:t xml:space="preserve">1) через коридоры с выходами из лифтовых шахт, через лифтовые холлы и тамбуры перед лифтами, если ограждающие конструкции шахт лифтов, в том числе двери шахт лифтов, не отвечают требованиям, предъявляемым к противопожарным преградам (противопожарные перегородки 1-го типа, перекрытия 3-го типа);</w:t>
      </w:r>
    </w:p>
    <w:p>
      <w:pPr>
        <w:pStyle w:val="0"/>
        <w:spacing w:before="240" w:line-rule="auto"/>
        <w:ind w:firstLine="540"/>
        <w:jc w:val="both"/>
      </w:pPr>
      <w:r>
        <w:rPr>
          <w:sz w:val="24"/>
        </w:rPr>
        <w:t xml:space="preserve">2) через лестничные клетки, если площадка лестничной клетки является частью коридора и проход к другим лестничным клеткам, минуя указанную площадку, невозможен;</w:t>
      </w:r>
    </w:p>
    <w:p>
      <w:pPr>
        <w:pStyle w:val="0"/>
        <w:spacing w:before="240" w:line-rule="auto"/>
        <w:ind w:firstLine="540"/>
        <w:jc w:val="both"/>
      </w:pPr>
      <w:r>
        <w:rPr>
          <w:sz w:val="24"/>
        </w:rPr>
        <w:t xml:space="preserve">3) через помещение, в котором расположена лестница 2-го типа, не являющаяся эвакуационной, за исключением случаев, установленных нормативными документами по пожарной безопасности, а также случаев эвакуации из помещений первого этажа;</w:t>
      </w:r>
    </w:p>
    <w:p>
      <w:pPr>
        <w:pStyle w:val="0"/>
        <w:spacing w:before="240" w:line-rule="auto"/>
        <w:ind w:firstLine="540"/>
        <w:jc w:val="both"/>
      </w:pPr>
      <w:r>
        <w:rPr>
          <w:sz w:val="24"/>
        </w:rPr>
        <w:t xml:space="preserve">4) по кровле зданий, за исключением эксплуатируемой кровли или специально оборудованного участка кровли;</w:t>
      </w:r>
    </w:p>
    <w:p>
      <w:pPr>
        <w:pStyle w:val="0"/>
        <w:spacing w:before="240" w:line-rule="auto"/>
        <w:ind w:firstLine="540"/>
        <w:jc w:val="both"/>
      </w:pPr>
      <w:r>
        <w:rPr>
          <w:sz w:val="24"/>
        </w:rPr>
        <w:t xml:space="preserve">5) по лестницам 2-го типа, соединяющим более двух этажей (ярусов), за исключением эвакуационных путей в зданиях класса Ф5, требования к которым установлены нормативными документами по пожарной безопасности;</w:t>
      </w:r>
    </w:p>
    <w:p>
      <w:pPr>
        <w:pStyle w:val="0"/>
        <w:spacing w:before="240" w:line-rule="auto"/>
        <w:ind w:firstLine="540"/>
        <w:jc w:val="both"/>
      </w:pPr>
      <w:r>
        <w:rPr>
          <w:sz w:val="24"/>
        </w:rPr>
        <w:t xml:space="preserve">6) по лестницам 2-го типа, ведущим из помещений подземных этажей, за исключением случаев, установленных нормативными документами по пожарной безопасности;</w:t>
      </w:r>
    </w:p>
    <w:p>
      <w:pPr>
        <w:pStyle w:val="0"/>
        <w:spacing w:before="240" w:line-rule="auto"/>
        <w:ind w:firstLine="540"/>
        <w:jc w:val="both"/>
      </w:pPr>
      <w:r>
        <w:rPr>
          <w:sz w:val="24"/>
        </w:rPr>
        <w:t xml:space="preserve">7) по лестницам и лестничным клеткам между подземными и надземными этажами, за исключением случаев, указанных в </w:t>
      </w:r>
      <w:hyperlink w:history="0" w:anchor="P1281" w:tooltip="4. Эвакуационные выходы из помещений подвальных этажей следует предусматривать ведущими непосредственно наружу и обособленными от общих лестничных клеток здания. Выходы из помещений цокольных этажей следует предусматривать обособленными при условиях, установленных нормативными документами по пожарной безопасности. Допускается предусматривать:">
        <w:r>
          <w:rPr>
            <w:sz w:val="24"/>
            <w:color w:val="0000ff"/>
          </w:rPr>
          <w:t xml:space="preserve">части 4</w:t>
        </w:r>
      </w:hyperlink>
      <w:r>
        <w:rPr>
          <w:sz w:val="24"/>
        </w:rPr>
        <w:t xml:space="preserve"> настоящей статьи и нормативных документах по пожарной безопасности.</w:t>
      </w:r>
    </w:p>
    <w:p>
      <w:pPr>
        <w:pStyle w:val="0"/>
        <w:jc w:val="both"/>
      </w:pPr>
      <w:r>
        <w:rPr>
          <w:sz w:val="24"/>
        </w:rPr>
        <w:t xml:space="preserve">(часть 14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15. Для эвакуации со всех этажей зданий групп населения с ограниченными возможностями передвижения допускается предусматривать на этажах вблизи лифтов, предназначенных для групп населения с ограниченными возможностями передвижения, и (или) на лестничных клетках устройство безопасных зон, в которых они могут находиться до прибытия спасательных подразделений. При этом к указанным лифтам предъявляются такие же требования, как к лифтам для транспортировки подразделений пожарной охраны. Такие лифты могут использоваться для спасения групп населения с ограниченными возможностями передвижения во время пожара.</w:t>
      </w:r>
    </w:p>
    <w:p>
      <w:pPr>
        <w:pStyle w:val="0"/>
        <w:jc w:val="both"/>
      </w:pPr>
      <w:r>
        <w:rPr>
          <w:sz w:val="24"/>
        </w:rPr>
        <w:t xml:space="preserve">(часть 15 введена Федеральным </w:t>
      </w:r>
      <w:r>
        <w:rPr>
          <w:sz w:val="24"/>
        </w:rPr>
        <w:t xml:space="preserve">законом</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90. Обеспечение деятельности пожарных подразделений</w:t>
      </w:r>
    </w:p>
    <w:p>
      <w:pPr>
        <w:pStyle w:val="0"/>
        <w:ind w:firstLine="540"/>
        <w:jc w:val="both"/>
      </w:pPr>
      <w:r>
        <w:rPr>
          <w:sz w:val="24"/>
        </w:rPr>
      </w:r>
    </w:p>
    <w:p>
      <w:pPr>
        <w:pStyle w:val="0"/>
        <w:ind w:firstLine="540"/>
        <w:jc w:val="both"/>
      </w:pPr>
      <w:r>
        <w:rPr>
          <w:sz w:val="24"/>
        </w:rPr>
        <w:t xml:space="preserve">1. Для зданий и сооружений должно быть обеспечено устройство:</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средств подъема личного состава подразделений пожарной охраны и пожарной техники на этажи и на кровлю зданий и сооружений;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противопожарного водопровода, в том числе совмещенного с хозяйственным или специального, сухотрубов и пожарных емкостей (резервуаров);</w:t>
      </w:r>
    </w:p>
    <w:p>
      <w:pPr>
        <w:pStyle w:val="0"/>
        <w:spacing w:before="240" w:line-rule="auto"/>
        <w:ind w:firstLine="540"/>
        <w:jc w:val="both"/>
      </w:pPr>
      <w:r>
        <w:rPr>
          <w:sz w:val="24"/>
        </w:rPr>
        <w:t xml:space="preserve">4) - 5) утратили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2. В зданиях и сооружениях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3 - 17. Утратили силу. - Федеральный </w:t>
      </w:r>
      <w:r>
        <w:rPr>
          <w:sz w:val="24"/>
        </w:rPr>
        <w:t xml:space="preserve">закон</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91. Оснащение помещений, зданий и сооружений,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Помещения, здания и сооружения, в которых предусмотрена система оповещения и управления эвакуацией людей при пожаре, оборудуются автоматическими установками пожарной сигнализации и (или) пожаротушения в соответствии с уровнем пожарной опасности помещений, зданий и сооружений на основе анализа пожарного риска. </w:t>
      </w:r>
      <w:r>
        <w:rPr>
          <w:sz w:val="24"/>
        </w:rPr>
        <w:t xml:space="preserve">Перечень</w:t>
      </w:r>
      <w:r>
        <w:rPr>
          <w:sz w:val="24"/>
        </w:rPr>
        <w:t xml:space="preserve"> объектов, подлежащих оснащению указанными установками, устанавливается нормативными документами по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Приборы приемно-контрольные пожарные, приборы управления пожарные и технические средства систем передачи извещений о пожаре должны быть обеспечены бесперебойным электропитанием.</w:t>
      </w:r>
    </w:p>
    <w:p>
      <w:pPr>
        <w:pStyle w:val="0"/>
        <w:jc w:val="both"/>
      </w:pPr>
      <w:r>
        <w:rPr>
          <w:sz w:val="24"/>
        </w:rPr>
        <w:t xml:space="preserve">(часть 2 в ред. Федерального </w:t>
      </w:r>
      <w:r>
        <w:rPr>
          <w:sz w:val="24"/>
        </w:rPr>
        <w:t xml:space="preserve">закона</w:t>
      </w:r>
      <w:r>
        <w:rPr>
          <w:sz w:val="24"/>
        </w:rPr>
        <w:t xml:space="preserve"> от 14.07.2022 N 276-ФЗ)</w:t>
      </w:r>
    </w:p>
    <w:p>
      <w:pPr>
        <w:pStyle w:val="0"/>
        <w:ind w:firstLine="540"/>
        <w:jc w:val="both"/>
      </w:pPr>
      <w:r>
        <w:rPr>
          <w:sz w:val="24"/>
        </w:rPr>
      </w:r>
    </w:p>
    <w:p>
      <w:pPr>
        <w:pStyle w:val="2"/>
        <w:outlineLvl w:val="1"/>
        <w:jc w:val="center"/>
      </w:pPr>
      <w:r>
        <w:rPr>
          <w:sz w:val="24"/>
        </w:rPr>
        <w:t xml:space="preserve">Раздел IV. ТРЕБОВАНИЯ ПОЖАРНОЙ БЕЗОПАСНОСТИ</w:t>
      </w:r>
    </w:p>
    <w:p>
      <w:pPr>
        <w:pStyle w:val="2"/>
        <w:jc w:val="center"/>
      </w:pPr>
      <w:r>
        <w:rPr>
          <w:sz w:val="24"/>
        </w:rPr>
        <w:t xml:space="preserve">К ПРОИЗВОДСТВЕННЫМ ОБЪЕКТАМ</w:t>
      </w:r>
    </w:p>
    <w:p>
      <w:pPr>
        <w:pStyle w:val="0"/>
        <w:ind w:firstLine="540"/>
        <w:jc w:val="both"/>
      </w:pPr>
      <w:r>
        <w:rPr>
          <w:sz w:val="24"/>
        </w:rPr>
      </w:r>
    </w:p>
    <w:p>
      <w:pPr>
        <w:pStyle w:val="2"/>
        <w:outlineLvl w:val="2"/>
        <w:jc w:val="center"/>
      </w:pPr>
      <w:r>
        <w:rPr>
          <w:sz w:val="24"/>
        </w:rPr>
        <w:t xml:space="preserve">Глава 20. ОБЩИЕ ТРЕБОВАНИЯ ПОЖАРНОЙ БЕЗОПАСНОСТИ</w:t>
      </w:r>
    </w:p>
    <w:p>
      <w:pPr>
        <w:pStyle w:val="2"/>
        <w:jc w:val="center"/>
      </w:pPr>
      <w:r>
        <w:rPr>
          <w:sz w:val="24"/>
        </w:rPr>
        <w:t xml:space="preserve">К ПРОИЗВОДСТВЕННЫМ ОБЪЕКТАМ</w:t>
      </w:r>
    </w:p>
    <w:p>
      <w:pPr>
        <w:pStyle w:val="0"/>
        <w:ind w:firstLine="540"/>
        <w:jc w:val="both"/>
      </w:pPr>
      <w:r>
        <w:rPr>
          <w:sz w:val="24"/>
        </w:rPr>
      </w:r>
    </w:p>
    <w:p>
      <w:pPr>
        <w:pStyle w:val="2"/>
        <w:outlineLvl w:val="3"/>
        <w:ind w:firstLine="540"/>
        <w:jc w:val="both"/>
      </w:pPr>
      <w:r>
        <w:rPr>
          <w:sz w:val="24"/>
        </w:rPr>
        <w:t xml:space="preserve">Статья 92. Требования к документации на производственные объекты</w:t>
      </w:r>
    </w:p>
    <w:p>
      <w:pPr>
        <w:pStyle w:val="0"/>
        <w:ind w:firstLine="540"/>
        <w:jc w:val="both"/>
      </w:pPr>
      <w:r>
        <w:rPr>
          <w:sz w:val="24"/>
        </w:rPr>
      </w:r>
    </w:p>
    <w:p>
      <w:pPr>
        <w:pStyle w:val="0"/>
        <w:ind w:firstLine="540"/>
        <w:jc w:val="both"/>
      </w:pPr>
      <w:r>
        <w:rPr>
          <w:sz w:val="24"/>
        </w:rPr>
        <w:t xml:space="preserve">1. Документация на производственные объекты, в том числе на здания, сооружения, и технологические процессы должна содержать пожарно-технические характеристики, предусмотренные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Состав и функциональные характеристики систем обеспечения пожарной безопасности производственных объектов должны быть оформлены в виде самостоятельного раздела проектной документации.</w:t>
      </w:r>
    </w:p>
    <w:p>
      <w:pPr>
        <w:pStyle w:val="0"/>
        <w:ind w:firstLine="540"/>
        <w:jc w:val="both"/>
      </w:pPr>
      <w:r>
        <w:rPr>
          <w:sz w:val="24"/>
        </w:rPr>
      </w:r>
    </w:p>
    <w:bookmarkStart w:id="1343" w:name="P1343"/>
    <w:bookmarkEnd w:id="1343"/>
    <w:p>
      <w:pPr>
        <w:pStyle w:val="2"/>
        <w:outlineLvl w:val="3"/>
        <w:ind w:firstLine="540"/>
        <w:jc w:val="both"/>
      </w:pPr>
      <w:r>
        <w:rPr>
          <w:sz w:val="24"/>
        </w:rPr>
        <w:t xml:space="preserve">Статья 93. Нормативные значения пожарного риска для производственных объектов</w:t>
      </w:r>
    </w:p>
    <w:p>
      <w:pPr>
        <w:pStyle w:val="0"/>
        <w:ind w:firstLine="540"/>
        <w:jc w:val="both"/>
      </w:pPr>
      <w:r>
        <w:rPr>
          <w:sz w:val="24"/>
        </w:rPr>
      </w:r>
    </w:p>
    <w:p>
      <w:pPr>
        <w:pStyle w:val="0"/>
        <w:ind w:firstLine="540"/>
        <w:jc w:val="both"/>
      </w:pPr>
      <w:r>
        <w:rPr>
          <w:sz w:val="24"/>
        </w:rPr>
        <w:t xml:space="preserve">1. Величина индивидуального пожарного риска в зданиях, сооружениях и на территориях производственных объектов не должна превышать одну миллионную в год.</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Для производственных объектов, на которых обеспечение величины индивидуального пожарного риска одной 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десятитысячной в год. При этом должны быть предусмотрены меры по обучению персонала действиям при пожаре и по социальной защите работников, компенсирующие их работу в условиях повышенного риска.</w:t>
      </w:r>
    </w:p>
    <w:p>
      <w:pPr>
        <w:pStyle w:val="0"/>
        <w:spacing w:before="240" w:line-rule="auto"/>
        <w:ind w:firstLine="540"/>
        <w:jc w:val="both"/>
      </w:pPr>
      <w:r>
        <w:rPr>
          <w:sz w:val="24"/>
        </w:rPr>
        <w:t xml:space="preserve">4. Величина индивидуального пожарного риска в результате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стомиллионную в год.</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4.1. Для производственных объектов, на которых для людей, находящихся в жилой зоне, общественно-деловой зоне или зоне рекреационного назначения вблизи объекта, обеспечение величины индивидуального пожарного риска одной стомиллионной в год и (или) величины социального пожарного риска одной десятимиллионной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миллионной в год и (или) социального пожарного риска до одной стотысячной в год соответственно. При этом должны быть предусмотрены средства оповещения людей, находящихся в жилой зоне, общественно-деловой зоне или зоне рекреационного назначения, о пожаре на производственном объекте, а также дополнительные инженерно-технические и организационные мероприятия по обеспечению их пожарной безопасности и социальной защите.</w:t>
      </w:r>
    </w:p>
    <w:p>
      <w:pPr>
        <w:pStyle w:val="0"/>
        <w:jc w:val="both"/>
      </w:pPr>
      <w:r>
        <w:rPr>
          <w:sz w:val="24"/>
        </w:rPr>
        <w:t xml:space="preserve">(часть 4.1 введена Федеральным </w:t>
      </w:r>
      <w:r>
        <w:rPr>
          <w:sz w:val="24"/>
        </w:rPr>
        <w:t xml:space="preserve">законом</w:t>
      </w:r>
      <w:r>
        <w:rPr>
          <w:sz w:val="24"/>
        </w:rPr>
        <w:t xml:space="preserve"> от 10.07.2012 N 117-ФЗ)</w:t>
      </w:r>
    </w:p>
    <w:p>
      <w:pPr>
        <w:pStyle w:val="0"/>
        <w:spacing w:before="240" w:line-rule="auto"/>
        <w:ind w:firstLine="540"/>
        <w:jc w:val="both"/>
      </w:pPr>
      <w:r>
        <w:rPr>
          <w:sz w:val="24"/>
        </w:rPr>
        <w:t xml:space="preserve">5. Величина социального пожарного риска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десятимиллионную в год.</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93.1. Требования пожарной безопасности к технологическому оборудованию с обращением пожароопасных, пожаровзрывоопасных и взрывоопасных технологических сред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10.07.2012 N 117-ФЗ)</w:t>
      </w:r>
    </w:p>
    <w:p>
      <w:pPr>
        <w:pStyle w:val="0"/>
        <w:ind w:firstLine="540"/>
        <w:jc w:val="both"/>
      </w:pPr>
      <w:r>
        <w:rPr>
          <w:sz w:val="24"/>
        </w:rPr>
      </w:r>
    </w:p>
    <w:p>
      <w:pPr>
        <w:pStyle w:val="0"/>
        <w:ind w:firstLine="540"/>
        <w:jc w:val="both"/>
      </w:pPr>
      <w:r>
        <w:rPr>
          <w:sz w:val="24"/>
        </w:rPr>
        <w:t xml:space="preserve">1. Разработка технологического оборудования и связанных с ним технологических процессов, разделение технологической схемы на отдельные технологические блоки, ее аппаратурное оформление, выбор типа отключающих устройств и мест их установки, средств контроля, управления и противоаварийной защиты должны обеспечивать с учетом элементов системы обеспечения пожарной безопасности непревышение значений допустимого пожарного риска для производственных объектов.</w:t>
      </w:r>
    </w:p>
    <w:p>
      <w:pPr>
        <w:pStyle w:val="0"/>
        <w:spacing w:before="240" w:line-rule="auto"/>
        <w:ind w:firstLine="540"/>
        <w:jc w:val="both"/>
      </w:pPr>
      <w:r>
        <w:rPr>
          <w:sz w:val="24"/>
        </w:rPr>
        <w:t xml:space="preserve">2. При наличии в технологическом оборудовании пожароопасных, пожаровзрывоопасных и взрывоопасных технологических сред или возможности их образования должны разрабатываться мероприятия по обеспечению пожарной безопасности.</w:t>
      </w:r>
    </w:p>
    <w:p>
      <w:pPr>
        <w:pStyle w:val="0"/>
        <w:spacing w:before="240" w:line-rule="auto"/>
        <w:ind w:firstLine="540"/>
        <w:jc w:val="both"/>
      </w:pPr>
      <w:r>
        <w:rPr>
          <w:sz w:val="24"/>
        </w:rPr>
        <w:t xml:space="preserve">3. Технологическое оборудование и связанные с ним технологические процессы должны разрабатываться так, чтобы предотвратить возможность взрыва и (или) пожара в технологическом оборудовании при регламентированных значениях их параметров при нормальном режиме работы.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допустимый диапазон их изменений должны устанавливаться разработчиком указанного оборудования на основании данных о предельно допустимых значениях параметров или их совокупности для участвующих в технологических процессах технологических сред.</w:t>
      </w:r>
    </w:p>
    <w:p>
      <w:pPr>
        <w:pStyle w:val="0"/>
        <w:spacing w:before="240" w:line-rule="auto"/>
        <w:ind w:firstLine="540"/>
        <w:jc w:val="both"/>
      </w:pPr>
      <w:r>
        <w:rPr>
          <w:sz w:val="24"/>
        </w:rPr>
        <w:t xml:space="preserve">4. Конструкция технологического оборудования и условия ведения связанных с ним технологических процессов должны предусматривать необходимые режимы и соответствующие им технические средства, предназначенные для своевременного обнаружения возникновения пожароопасных аварийных ситуаций, ограничения их дальнейшего развития, а также для ограничения поступления горючих веществ и материалов из технологического оборудования в очаг возможного пожара.</w:t>
      </w:r>
    </w:p>
    <w:p>
      <w:pPr>
        <w:pStyle w:val="0"/>
        <w:ind w:firstLine="540"/>
        <w:jc w:val="both"/>
      </w:pPr>
      <w:r>
        <w:rPr>
          <w:sz w:val="24"/>
        </w:rPr>
      </w:r>
    </w:p>
    <w:p>
      <w:pPr>
        <w:pStyle w:val="2"/>
        <w:outlineLvl w:val="2"/>
        <w:jc w:val="center"/>
      </w:pPr>
      <w:r>
        <w:rPr>
          <w:sz w:val="24"/>
        </w:rPr>
        <w:t xml:space="preserve">Глава 21. ПОРЯДОК ПРОВЕДЕНИЯ АНАЛИЗА ПОЖАРНОЙ ОПАСНОСТИ</w:t>
      </w:r>
    </w:p>
    <w:p>
      <w:pPr>
        <w:pStyle w:val="2"/>
        <w:jc w:val="center"/>
      </w:pPr>
      <w:r>
        <w:rPr>
          <w:sz w:val="24"/>
        </w:rPr>
        <w:t xml:space="preserve">ПРОИЗВОДСТВЕННОГО ОБЪЕКТА И РАСЧЕТА ПОЖАРНОГО РИСКА</w:t>
      </w:r>
    </w:p>
    <w:p>
      <w:pPr>
        <w:pStyle w:val="0"/>
        <w:ind w:firstLine="540"/>
        <w:jc w:val="both"/>
      </w:pPr>
      <w:r>
        <w:rPr>
          <w:sz w:val="24"/>
        </w:rPr>
      </w:r>
    </w:p>
    <w:p>
      <w:pPr>
        <w:pStyle w:val="2"/>
        <w:outlineLvl w:val="3"/>
        <w:ind w:firstLine="540"/>
        <w:jc w:val="both"/>
      </w:pPr>
      <w:r>
        <w:rPr>
          <w:sz w:val="24"/>
        </w:rPr>
        <w:t xml:space="preserve">Статья 94. Последовательность оценки пожарного риска на производственном объекте</w:t>
      </w:r>
    </w:p>
    <w:p>
      <w:pPr>
        <w:pStyle w:val="0"/>
        <w:ind w:firstLine="540"/>
        <w:jc w:val="both"/>
      </w:pPr>
      <w:r>
        <w:rPr>
          <w:sz w:val="24"/>
        </w:rPr>
      </w:r>
    </w:p>
    <w:p>
      <w:pPr>
        <w:pStyle w:val="0"/>
        <w:ind w:firstLine="540"/>
        <w:jc w:val="both"/>
      </w:pPr>
      <w:r>
        <w:rPr>
          <w:sz w:val="24"/>
        </w:rPr>
        <w:t xml:space="preserve">1. Оценка пожарного риска на производственном объекте должна предусматривать:</w:t>
      </w:r>
    </w:p>
    <w:p>
      <w:pPr>
        <w:pStyle w:val="0"/>
        <w:spacing w:before="240" w:line-rule="auto"/>
        <w:ind w:firstLine="540"/>
        <w:jc w:val="both"/>
      </w:pPr>
      <w:r>
        <w:rPr>
          <w:sz w:val="24"/>
        </w:rPr>
        <w:t xml:space="preserve">1) анализ пожарной опасности производственного объекта;</w:t>
      </w:r>
    </w:p>
    <w:p>
      <w:pPr>
        <w:pStyle w:val="0"/>
        <w:spacing w:before="240" w:line-rule="auto"/>
        <w:ind w:firstLine="540"/>
        <w:jc w:val="both"/>
      </w:pPr>
      <w:r>
        <w:rPr>
          <w:sz w:val="24"/>
        </w:rPr>
        <w:t xml:space="preserve">2) определение частоты реализации пожароопасных аварийных ситуаций на производственном объекте;</w:t>
      </w:r>
    </w:p>
    <w:p>
      <w:pPr>
        <w:pStyle w:val="0"/>
        <w:spacing w:before="240" w:line-rule="auto"/>
        <w:ind w:firstLine="540"/>
        <w:jc w:val="both"/>
      </w:pPr>
      <w:r>
        <w:rPr>
          <w:sz w:val="24"/>
        </w:rPr>
        <w:t xml:space="preserve">3) построение полей опасных факторов пожара для различных сценариев его развития;</w:t>
      </w:r>
    </w:p>
    <w:p>
      <w:pPr>
        <w:pStyle w:val="0"/>
        <w:spacing w:before="240" w:line-rule="auto"/>
        <w:ind w:firstLine="540"/>
        <w:jc w:val="both"/>
      </w:pPr>
      <w:r>
        <w:rPr>
          <w:sz w:val="24"/>
        </w:rPr>
        <w:t xml:space="preserve">4) оценку последствий воздействия опасных факторов пожара на людей для различных сценариев его развития;</w:t>
      </w:r>
    </w:p>
    <w:p>
      <w:pPr>
        <w:pStyle w:val="0"/>
        <w:spacing w:before="240" w:line-rule="auto"/>
        <w:ind w:firstLine="540"/>
        <w:jc w:val="both"/>
      </w:pPr>
      <w:r>
        <w:rPr>
          <w:sz w:val="24"/>
        </w:rPr>
        <w:t xml:space="preserve">5) вычисление пожарного риска.</w:t>
      </w:r>
    </w:p>
    <w:p>
      <w:pPr>
        <w:pStyle w:val="0"/>
        <w:spacing w:before="240" w:line-rule="auto"/>
        <w:ind w:firstLine="540"/>
        <w:jc w:val="both"/>
      </w:pPr>
      <w:r>
        <w:rPr>
          <w:sz w:val="24"/>
        </w:rPr>
        <w:t xml:space="preserve">2. Анализ пожарной опасности производственных объектов должен предусматривать:</w:t>
      </w:r>
    </w:p>
    <w:p>
      <w:pPr>
        <w:pStyle w:val="0"/>
        <w:spacing w:before="240" w:line-rule="auto"/>
        <w:ind w:firstLine="540"/>
        <w:jc w:val="both"/>
      </w:pPr>
      <w:r>
        <w:rPr>
          <w:sz w:val="24"/>
        </w:rPr>
        <w:t xml:space="preserve">1) анализ пожарной опасности технологической среды и параметров технологических процессов на производственном объекте;</w:t>
      </w:r>
    </w:p>
    <w:p>
      <w:pPr>
        <w:pStyle w:val="0"/>
        <w:spacing w:before="240" w:line-rule="auto"/>
        <w:ind w:firstLine="540"/>
        <w:jc w:val="both"/>
      </w:pPr>
      <w:r>
        <w:rPr>
          <w:sz w:val="24"/>
        </w:rPr>
        <w:t xml:space="preserve">2) определение перечня пожароопасных аварийных ситуаций и параметров для каждого технологического процесса;</w:t>
      </w:r>
    </w:p>
    <w:p>
      <w:pPr>
        <w:pStyle w:val="0"/>
        <w:spacing w:before="240" w:line-rule="auto"/>
        <w:ind w:firstLine="540"/>
        <w:jc w:val="both"/>
      </w:pPr>
      <w:r>
        <w:rPr>
          <w:sz w:val="24"/>
        </w:rPr>
        <w:t xml:space="preserve">3) определение перечня причин, возникновение которых позволяет характеризовать ситуацию как пожароопасную, для каждого технологического процесса;</w:t>
      </w:r>
    </w:p>
    <w:p>
      <w:pPr>
        <w:pStyle w:val="0"/>
        <w:spacing w:before="240" w:line-rule="auto"/>
        <w:ind w:firstLine="540"/>
        <w:jc w:val="both"/>
      </w:pPr>
      <w:r>
        <w:rPr>
          <w:sz w:val="24"/>
        </w:rPr>
        <w:t xml:space="preserve">4) построение сценариев возникновения и развития пожаров, повлекших за собой гибель людей.</w:t>
      </w:r>
    </w:p>
    <w:p>
      <w:pPr>
        <w:pStyle w:val="0"/>
        <w:ind w:firstLine="540"/>
        <w:jc w:val="both"/>
      </w:pPr>
      <w:r>
        <w:rPr>
          <w:sz w:val="24"/>
        </w:rPr>
      </w:r>
    </w:p>
    <w:p>
      <w:pPr>
        <w:pStyle w:val="2"/>
        <w:outlineLvl w:val="3"/>
        <w:ind w:firstLine="540"/>
        <w:jc w:val="both"/>
      </w:pPr>
      <w:r>
        <w:rPr>
          <w:sz w:val="24"/>
        </w:rPr>
        <w:t xml:space="preserve">Статья 95. Анализ пожарной опасности производственных объектов</w:t>
      </w:r>
    </w:p>
    <w:p>
      <w:pPr>
        <w:pStyle w:val="0"/>
        <w:ind w:firstLine="540"/>
        <w:jc w:val="both"/>
      </w:pPr>
      <w:r>
        <w:rPr>
          <w:sz w:val="24"/>
        </w:rPr>
      </w:r>
    </w:p>
    <w:p>
      <w:pPr>
        <w:pStyle w:val="0"/>
        <w:ind w:firstLine="540"/>
        <w:jc w:val="both"/>
      </w:pPr>
      <w:r>
        <w:rPr>
          <w:sz w:val="24"/>
        </w:rPr>
        <w:t xml:space="preserve">1. Анализ пожарной опасности технологических процессов предусматривает сопоставление показателей пожарной опасности веществ и материалов, обращающихся в технологическом процессе, с параметрами технологического процесса.</w:t>
      </w:r>
    </w:p>
    <w:p>
      <w:pPr>
        <w:pStyle w:val="0"/>
        <w:spacing w:before="240" w:line-rule="auto"/>
        <w:ind w:firstLine="540"/>
        <w:jc w:val="both"/>
      </w:pPr>
      <w:r>
        <w:rPr>
          <w:sz w:val="24"/>
        </w:rPr>
        <w:t xml:space="preserve">2. 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опасности технологической среды, приведен в </w:t>
      </w:r>
      <w:hyperlink w:history="0" w:anchor="P2006" w:tooltip="Перечень показателей для оценки">
        <w:r>
          <w:rPr>
            <w:sz w:val="24"/>
            <w:color w:val="0000ff"/>
          </w:rPr>
          <w:t xml:space="preserve">таблице 1</w:t>
        </w:r>
      </w:hyperlink>
      <w:r>
        <w:rPr>
          <w:sz w:val="24"/>
        </w:rPr>
        <w:t xml:space="preserve"> приложения к настоящему Федеральному закону.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 источников зажигания с показателями пожарной опасности веществ и материалов.</w:t>
      </w:r>
    </w:p>
    <w:p>
      <w:pPr>
        <w:pStyle w:val="0"/>
        <w:spacing w:before="240" w:line-rule="auto"/>
        <w:ind w:firstLine="540"/>
        <w:jc w:val="both"/>
      </w:pPr>
      <w:r>
        <w:rPr>
          <w:sz w:val="24"/>
        </w:rPr>
        <w:t xml:space="preserve">3. 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К пожароопасным ситуациям не относятся ситуации, в результате которых не возникает опасность для жизни и здоровья людей. Эти ситуации не учитываются при расчете пожарного риска.</w:t>
      </w:r>
    </w:p>
    <w:p>
      <w:pPr>
        <w:pStyle w:val="0"/>
        <w:spacing w:before="240" w:line-rule="auto"/>
        <w:ind w:firstLine="540"/>
        <w:jc w:val="both"/>
      </w:pPr>
      <w:r>
        <w:rPr>
          <w:sz w:val="24"/>
        </w:rPr>
        <w:t xml:space="preserve">4. Для каждой пожароопасной ситуации на производственном объекте должно быть приведено описание причин возникновения и развития пожароопасных ситуаций, места их возникновения и факторов пожара, представляющих опасность для жизни и здоровья людей в местах их пребывания.</w:t>
      </w:r>
    </w:p>
    <w:p>
      <w:pPr>
        <w:pStyle w:val="0"/>
        <w:spacing w:before="240" w:line-rule="auto"/>
        <w:ind w:firstLine="540"/>
        <w:jc w:val="both"/>
      </w:pPr>
      <w:r>
        <w:rPr>
          <w:sz w:val="24"/>
        </w:rPr>
        <w:t xml:space="preserve">5. Для определения причин возникновения пожароопасных ситуаций должны быть определены события, реализация которых может привести к образованию горючей среды и появлению источника зажигания.</w:t>
      </w:r>
    </w:p>
    <w:p>
      <w:pPr>
        <w:pStyle w:val="0"/>
        <w:spacing w:before="240" w:line-rule="auto"/>
        <w:ind w:firstLine="540"/>
        <w:jc w:val="both"/>
      </w:pPr>
      <w:r>
        <w:rPr>
          <w:sz w:val="24"/>
        </w:rPr>
        <w:t xml:space="preserve">6. Анализ пожарной опасности производственных объектов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w:t>
      </w:r>
    </w:p>
    <w:p>
      <w:pPr>
        <w:pStyle w:val="0"/>
        <w:ind w:firstLine="540"/>
        <w:jc w:val="both"/>
      </w:pPr>
      <w:r>
        <w:rPr>
          <w:sz w:val="24"/>
        </w:rPr>
      </w:r>
    </w:p>
    <w:p>
      <w:pPr>
        <w:pStyle w:val="2"/>
        <w:outlineLvl w:val="3"/>
        <w:ind w:firstLine="540"/>
        <w:jc w:val="both"/>
      </w:pPr>
      <w:r>
        <w:rPr>
          <w:sz w:val="24"/>
        </w:rPr>
        <w:t xml:space="preserve">Статья 96. Оценка пожарного риска на производственном объекте</w:t>
      </w:r>
    </w:p>
    <w:p>
      <w:pPr>
        <w:pStyle w:val="0"/>
        <w:ind w:firstLine="540"/>
        <w:jc w:val="both"/>
      </w:pPr>
      <w:r>
        <w:rPr>
          <w:sz w:val="24"/>
        </w:rPr>
      </w:r>
    </w:p>
    <w:p>
      <w:pPr>
        <w:pStyle w:val="0"/>
        <w:ind w:firstLine="540"/>
        <w:jc w:val="both"/>
      </w:pPr>
      <w:r>
        <w:rPr>
          <w:sz w:val="24"/>
        </w:rPr>
        <w:t xml:space="preserve">1. Для определения частоты реализации пожароопасных ситуаций на производственном объекте используется информация:</w:t>
      </w:r>
    </w:p>
    <w:p>
      <w:pPr>
        <w:pStyle w:val="0"/>
        <w:spacing w:before="240" w:line-rule="auto"/>
        <w:ind w:firstLine="540"/>
        <w:jc w:val="both"/>
      </w:pPr>
      <w:r>
        <w:rPr>
          <w:sz w:val="24"/>
        </w:rPr>
        <w:t xml:space="preserve">1) об отказе оборудования, используемого на производственном объекте;</w:t>
      </w:r>
    </w:p>
    <w:p>
      <w:pPr>
        <w:pStyle w:val="0"/>
        <w:spacing w:before="240" w:line-rule="auto"/>
        <w:ind w:firstLine="540"/>
        <w:jc w:val="both"/>
      </w:pPr>
      <w:r>
        <w:rPr>
          <w:sz w:val="24"/>
        </w:rPr>
        <w:t xml:space="preserve">2) о параметрах надежности используемого на производственном объекте оборудования;</w:t>
      </w:r>
    </w:p>
    <w:p>
      <w:pPr>
        <w:pStyle w:val="0"/>
        <w:spacing w:before="240" w:line-rule="auto"/>
        <w:ind w:firstLine="540"/>
        <w:jc w:val="both"/>
      </w:pPr>
      <w:r>
        <w:rPr>
          <w:sz w:val="24"/>
        </w:rPr>
        <w:t xml:space="preserve">3) об ошибочных действиях персонала производственного объекта;</w:t>
      </w:r>
    </w:p>
    <w:p>
      <w:pPr>
        <w:pStyle w:val="0"/>
        <w:spacing w:before="240" w:line-rule="auto"/>
        <w:ind w:firstLine="540"/>
        <w:jc w:val="both"/>
      </w:pPr>
      <w:r>
        <w:rPr>
          <w:sz w:val="24"/>
        </w:rPr>
        <w:t xml:space="preserve">4) о гидрометеорологической обстановке в районе размещения производственного объекта;</w:t>
      </w:r>
    </w:p>
    <w:p>
      <w:pPr>
        <w:pStyle w:val="0"/>
        <w:spacing w:before="240" w:line-rule="auto"/>
        <w:ind w:firstLine="540"/>
        <w:jc w:val="both"/>
      </w:pPr>
      <w:r>
        <w:rPr>
          <w:sz w:val="24"/>
        </w:rPr>
        <w:t xml:space="preserve">5) о географических особенностях местности в районе размещения производственного объекта.</w:t>
      </w:r>
    </w:p>
    <w:p>
      <w:pPr>
        <w:pStyle w:val="0"/>
        <w:spacing w:before="240" w:line-rule="auto"/>
        <w:ind w:firstLine="540"/>
        <w:jc w:val="both"/>
      </w:pPr>
      <w:r>
        <w:rPr>
          <w:sz w:val="24"/>
        </w:rPr>
        <w:t xml:space="preserve">2. Оценка опасных факторов пожара, взрыва для различных сценариев их развития осуществляется на основе сопоставления информации о моделировании динамики опасных факторов пожара на территории производственного объекта и прилегающей к нему территории и информации о критических для жизни и здоровья людей значениях опасных факторов анализируемых пожара, взрыва.</w:t>
      </w:r>
    </w:p>
    <w:p>
      <w:pPr>
        <w:pStyle w:val="0"/>
        <w:spacing w:before="240" w:line-rule="auto"/>
        <w:ind w:firstLine="540"/>
        <w:jc w:val="both"/>
      </w:pPr>
      <w:r>
        <w:rPr>
          <w:sz w:val="24"/>
        </w:rPr>
        <w:t xml:space="preserve">3. Оценка последствий воздействия опасных факторов пожара, взрыва на людей для различных сценариев развития пожароопасных ситуаций предусматривает определение числа людей, попавших в зону поражения опасными факторами пожара, взрыва.</w:t>
      </w:r>
    </w:p>
    <w:p>
      <w:pPr>
        <w:pStyle w:val="0"/>
        <w:ind w:firstLine="540"/>
        <w:jc w:val="both"/>
      </w:pPr>
      <w:r>
        <w:rPr>
          <w:sz w:val="24"/>
        </w:rPr>
      </w:r>
    </w:p>
    <w:p>
      <w:pPr>
        <w:pStyle w:val="2"/>
        <w:outlineLvl w:val="2"/>
        <w:jc w:val="center"/>
      </w:pPr>
      <w:r>
        <w:rPr>
          <w:sz w:val="24"/>
        </w:rPr>
        <w:t xml:space="preserve">Глава 22. ТРЕБОВАНИЯ К РАЗМЕЩЕНИЮ ПОЖАРНЫХ</w:t>
      </w:r>
    </w:p>
    <w:p>
      <w:pPr>
        <w:pStyle w:val="2"/>
        <w:jc w:val="center"/>
      </w:pPr>
      <w:r>
        <w:rPr>
          <w:sz w:val="24"/>
        </w:rPr>
        <w:t xml:space="preserve">ДЕПО, ДОРОГАМ, ВЪЕЗДАМ (ВЫЕЗДАМ) И ПРОЕЗДАМ, ИСТОЧНИКАМ</w:t>
      </w:r>
    </w:p>
    <w:p>
      <w:pPr>
        <w:pStyle w:val="2"/>
        <w:jc w:val="center"/>
      </w:pPr>
      <w:r>
        <w:rPr>
          <w:sz w:val="24"/>
        </w:rPr>
        <w:t xml:space="preserve">ВОДОСНАБЖЕНИЯ НА ТЕРРИТОРИИ ПРОИЗВОДСТВЕННОГО ОБЪЕКТА</w:t>
      </w:r>
    </w:p>
    <w:p>
      <w:pPr>
        <w:pStyle w:val="0"/>
        <w:ind w:firstLine="540"/>
        <w:jc w:val="both"/>
      </w:pPr>
      <w:r>
        <w:rPr>
          <w:sz w:val="24"/>
        </w:rPr>
      </w:r>
    </w:p>
    <w:p>
      <w:pPr>
        <w:pStyle w:val="2"/>
        <w:outlineLvl w:val="3"/>
        <w:ind w:firstLine="540"/>
        <w:jc w:val="both"/>
      </w:pPr>
      <w:r>
        <w:rPr>
          <w:sz w:val="24"/>
        </w:rPr>
        <w:t xml:space="preserve">Статья 97. Размещение подразделений пожарной охраны и зданий пожарных депо на производственных объектах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14.07.2022 N 276-ФЗ)</w:t>
      </w:r>
    </w:p>
    <w:p>
      <w:pPr>
        <w:pStyle w:val="0"/>
        <w:jc w:val="both"/>
      </w:pPr>
      <w:r>
        <w:rPr>
          <w:sz w:val="24"/>
        </w:rPr>
      </w:r>
    </w:p>
    <w:bookmarkStart w:id="1411" w:name="P1411"/>
    <w:bookmarkEnd w:id="1411"/>
    <w:p>
      <w:pPr>
        <w:pStyle w:val="0"/>
        <w:ind w:firstLine="540"/>
        <w:jc w:val="both"/>
      </w:pPr>
      <w:r>
        <w:rPr>
          <w:sz w:val="24"/>
        </w:rPr>
        <w:t xml:space="preserve">1. Подразделения пожарной охраны и здания пожарных депо размещаются на производственных объектах:</w:t>
      </w:r>
    </w:p>
    <w:p>
      <w:pPr>
        <w:pStyle w:val="0"/>
        <w:spacing w:before="240" w:line-rule="auto"/>
        <w:ind w:firstLine="540"/>
        <w:jc w:val="both"/>
      </w:pPr>
      <w:r>
        <w:rPr>
          <w:sz w:val="24"/>
        </w:rPr>
        <w:t xml:space="preserve">1) с суммарным объемом зданий категорий А и Б по пожарной и взрывопожарной опасности и помещений категорий А и Б по пожарной и взрывопожарной опасности в составе зданий категории В по пожарной и взрывопожарной опасности более 100 тысяч кубических метров и (или) с единовременно обращающимися в наружных технологических установках пожароопасными, пожаровзрывоопасными и взрывоопасными технологическими средами массой более 100 тысяч тонн. Объемы зданий, помещений и масса технологических сред суммируются, при этом подразделения пожарной охраны создаются на производственных объектах с суммарным числовым значением более 100 тысяч;</w:t>
      </w:r>
    </w:p>
    <w:p>
      <w:pPr>
        <w:pStyle w:val="0"/>
        <w:spacing w:before="240" w:line-rule="auto"/>
        <w:ind w:firstLine="540"/>
        <w:jc w:val="both"/>
      </w:pPr>
      <w:r>
        <w:rPr>
          <w:sz w:val="24"/>
        </w:rPr>
        <w:t xml:space="preserve">2) с суммарным объемом зданий категории В по пожарной и взрывопожарной опасности более 2 миллионов кубических метров;</w:t>
      </w:r>
    </w:p>
    <w:p>
      <w:pPr>
        <w:pStyle w:val="0"/>
        <w:spacing w:before="240" w:line-rule="auto"/>
        <w:ind w:firstLine="540"/>
        <w:jc w:val="both"/>
      </w:pPr>
      <w:r>
        <w:rPr>
          <w:sz w:val="24"/>
        </w:rPr>
        <w:t xml:space="preserve">3) атомных электростанций вне зависимости от мощности, тепловых электростанций мощностью 1000 мегаватт и более, гидроэлектростанций мощностью 1500 мегаватт и более.</w:t>
      </w:r>
    </w:p>
    <w:bookmarkStart w:id="1415" w:name="P1415"/>
    <w:bookmarkEnd w:id="1415"/>
    <w:p>
      <w:pPr>
        <w:pStyle w:val="0"/>
        <w:spacing w:before="240" w:line-rule="auto"/>
        <w:ind w:firstLine="540"/>
        <w:jc w:val="both"/>
      </w:pPr>
      <w:r>
        <w:rPr>
          <w:sz w:val="24"/>
        </w:rPr>
        <w:t xml:space="preserve">2. 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Тип и количество пожарных автомобилей подразделений пожарной охраны на производственных объектах определяются с учетом привлекаемых для тушения пожара сил и средств других подразделений пожарной охраны пожарно-спасательного гарнизона исходя из установленного </w:t>
      </w:r>
      <w:hyperlink w:history="0" w:anchor="P1013" w:tooltip="1. 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
        <w:r>
          <w:rPr>
            <w:sz w:val="24"/>
            <w:color w:val="0000ff"/>
          </w:rPr>
          <w:t xml:space="preserve">частью 1 статьи 76</w:t>
        </w:r>
      </w:hyperlink>
      <w:r>
        <w:rPr>
          <w:sz w:val="24"/>
        </w:rPr>
        <w:t xml:space="preserve"> настоящего Федерального закона условия прибытия к месту пожара.</w:t>
      </w:r>
    </w:p>
    <w:p>
      <w:pPr>
        <w:pStyle w:val="0"/>
        <w:spacing w:before="240" w:line-rule="auto"/>
        <w:ind w:firstLine="540"/>
        <w:jc w:val="both"/>
      </w:pPr>
      <w:r>
        <w:rPr>
          <w:sz w:val="24"/>
        </w:rPr>
        <w:t xml:space="preserve">3. Выезды из зданий пожарных депо должны быть расположены таким образом, чтобы выезжающие пожарные автомобили не пересекали основных транспортных потоков.</w:t>
      </w:r>
    </w:p>
    <w:p>
      <w:pPr>
        <w:pStyle w:val="0"/>
        <w:spacing w:before="240" w:line-rule="auto"/>
        <w:ind w:firstLine="540"/>
        <w:jc w:val="both"/>
      </w:pPr>
      <w:r>
        <w:rPr>
          <w:sz w:val="24"/>
        </w:rPr>
        <w:t xml:space="preserve">4. Требования к месту расположения зданий пожарных депо и радиусам обслуживания пожарными депо устанавливаются нормативными документами по пожарной безопасности.</w:t>
      </w:r>
    </w:p>
    <w:p>
      <w:pPr>
        <w:pStyle w:val="0"/>
        <w:ind w:firstLine="540"/>
        <w:jc w:val="both"/>
      </w:pPr>
      <w:r>
        <w:rPr>
          <w:sz w:val="24"/>
        </w:rPr>
      </w:r>
    </w:p>
    <w:p>
      <w:pPr>
        <w:pStyle w:val="2"/>
        <w:outlineLvl w:val="3"/>
        <w:ind w:firstLine="540"/>
        <w:jc w:val="both"/>
      </w:pPr>
      <w:r>
        <w:rPr>
          <w:sz w:val="24"/>
        </w:rPr>
        <w:t xml:space="preserve">Статья 98. Требования к въездам (выездам) и проездам на территории производственного объекта</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ind w:firstLine="540"/>
        <w:jc w:val="both"/>
      </w:pPr>
      <w:r>
        <w:rPr>
          <w:sz w:val="24"/>
        </w:rPr>
      </w:r>
    </w:p>
    <w:p>
      <w:pPr>
        <w:pStyle w:val="0"/>
        <w:ind w:firstLine="540"/>
        <w:jc w:val="both"/>
      </w:pPr>
      <w:r>
        <w:rPr>
          <w:sz w:val="24"/>
        </w:rPr>
        <w:t xml:space="preserve">1.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pPr>
        <w:pStyle w:val="0"/>
        <w:spacing w:before="240" w:line-rule="auto"/>
        <w:ind w:firstLine="540"/>
        <w:jc w:val="both"/>
      </w:pPr>
      <w:r>
        <w:rPr>
          <w:sz w:val="24"/>
        </w:rPr>
        <w:t xml:space="preserve">2. 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pPr>
        <w:pStyle w:val="0"/>
        <w:spacing w:before="240" w:line-rule="auto"/>
        <w:ind w:firstLine="540"/>
        <w:jc w:val="both"/>
      </w:pPr>
      <w:r>
        <w:rPr>
          <w:sz w:val="24"/>
        </w:rPr>
        <w:t xml:space="preserve">3. 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pPr>
        <w:pStyle w:val="0"/>
        <w:spacing w:before="240" w:line-rule="auto"/>
        <w:ind w:firstLine="540"/>
        <w:jc w:val="both"/>
      </w:pPr>
      <w:r>
        <w:rPr>
          <w:sz w:val="24"/>
        </w:rPr>
        <w:t xml:space="preserve">4 - 11. Утратили силу. - Федеральный </w:t>
      </w:r>
      <w:r>
        <w:rPr>
          <w:sz w:val="24"/>
        </w:rPr>
        <w:t xml:space="preserve">закон</w:t>
      </w:r>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99. </w:t>
      </w:r>
      <w:r>
        <w:rPr>
          <w:sz w:val="24"/>
        </w:rPr>
        <w:t xml:space="preserve">Требования</w:t>
      </w:r>
      <w:r>
        <w:rPr>
          <w:sz w:val="24"/>
        </w:rPr>
        <w:t xml:space="preserve"> к источникам противопожарного водоснабжения производственного объекта</w:t>
      </w:r>
    </w:p>
    <w:p>
      <w:pPr>
        <w:pStyle w:val="0"/>
        <w:ind w:firstLine="540"/>
        <w:jc w:val="both"/>
      </w:pPr>
      <w:r>
        <w:rPr>
          <w:sz w:val="24"/>
        </w:rPr>
      </w:r>
    </w:p>
    <w:p>
      <w:pPr>
        <w:pStyle w:val="0"/>
        <w:ind w:firstLine="540"/>
        <w:jc w:val="both"/>
      </w:pPr>
      <w:r>
        <w:rPr>
          <w:sz w:val="24"/>
        </w:rPr>
        <w:t xml:space="preserve">1. Допускается не предусматривать противопожарное водоснабжение отдельно стоящих зданий и сооружений класса функциональной пожарной опасности Ф5 и степеней огнестойкости I и II категории Д по пожарной и взрывопожарной опасности объемом не более 1000 кубических метров (либо нескольких зданий и (или) сооружений того же суммарного объема), расположенных вне населенных пунктов отдельно стоящих зданий и сооружений класса функциональной пожарной опасности Ф5 категорий А, Б и В по пожарной и взрывопожарной опасности объемом не более 500 кубических метров (либо нескольких зданий и (или) сооружений того же суммарного объема) и категорий Г и Д по пожарной и взрывопожарной опасности объемом не более 1000 кубических метров (либо нескольких зданий и (или) сооружений того же суммарного объема).</w:t>
      </w:r>
    </w:p>
    <w:p>
      <w:pPr>
        <w:pStyle w:val="0"/>
        <w:jc w:val="both"/>
      </w:pPr>
      <w:r>
        <w:rPr>
          <w:sz w:val="24"/>
        </w:rPr>
        <w:t xml:space="preserve">(часть 1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Запас воды для целей пожаротушения в искусственных водоемах должен определяться исходя из расчетных расходов воды на наружное пожаротушение и продолжительности тушения пожаров.</w:t>
      </w:r>
    </w:p>
    <w:p>
      <w:pPr>
        <w:pStyle w:val="0"/>
        <w:ind w:firstLine="540"/>
        <w:jc w:val="both"/>
      </w:pPr>
      <w:r>
        <w:rPr>
          <w:sz w:val="24"/>
        </w:rPr>
      </w:r>
    </w:p>
    <w:p>
      <w:pPr>
        <w:pStyle w:val="2"/>
        <w:outlineLvl w:val="3"/>
        <w:ind w:firstLine="540"/>
        <w:jc w:val="both"/>
      </w:pPr>
      <w:r>
        <w:rPr>
          <w:sz w:val="24"/>
        </w:rPr>
        <w:t xml:space="preserve">Статья 100. Требования к ограничению распространения пожара на производственном объекте</w:t>
      </w:r>
    </w:p>
    <w:p>
      <w:pPr>
        <w:pStyle w:val="0"/>
        <w:ind w:firstLine="540"/>
        <w:jc w:val="both"/>
      </w:pPr>
      <w:r>
        <w:rPr>
          <w:sz w:val="24"/>
        </w:rPr>
      </w:r>
    </w:p>
    <w:p>
      <w:pPr>
        <w:pStyle w:val="0"/>
        <w:ind w:firstLine="540"/>
        <w:jc w:val="both"/>
      </w:pPr>
      <w:r>
        <w:rPr>
          <w:sz w:val="24"/>
        </w:rPr>
        <w:t xml:space="preserve">1. Расстояния между зданиями и сооружениями, от складов, открытых технологических установок, агрегатов и оборудования до зданий и сооружений, между складами, открытыми технологическими установками, агрегатами и оборудованием, от газгольдеров для горючих газов до зданий и сооружений на территории производственного объекта в зависимости от степени огнестойкости, категории зданий по взрывопожарной и пожарной опасности и других характеристик должны исключать возможность перехода пожара от одного здания или сооружения к другому.</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3. В случаях размещения надземных резервуаров с сжиженными горючими газами, легковоспламеняющимися и горючими жидкостями на более высоких отметках по сравнению с отметками территорий населенных пунктов, организаций, железных дорог и автомобильных дорог федерального значения, у берегов рек (водоемов), расположенных на расстоянии менее 200 метров, должны быть предусмотрены меры по предотвращению растекания разлившейся жидкости к указанным зданиям и сооружениям при авариях на резервуарах.</w:t>
      </w:r>
    </w:p>
    <w:p>
      <w:pPr>
        <w:pStyle w:val="0"/>
        <w:jc w:val="both"/>
      </w:pPr>
      <w:r>
        <w:rPr>
          <w:sz w:val="24"/>
        </w:rPr>
        <w:t xml:space="preserve">(в ред. Федеральных законов от 10.07.2012 </w:t>
      </w:r>
      <w:r>
        <w:rPr>
          <w:sz w:val="24"/>
        </w:rPr>
        <w:t xml:space="preserve">N 117-ФЗ</w:t>
      </w:r>
      <w:r>
        <w:rPr>
          <w:sz w:val="24"/>
        </w:rPr>
        <w:t xml:space="preserve">, от 29.07.2017 </w:t>
      </w:r>
      <w:r>
        <w:rPr>
          <w:sz w:val="24"/>
        </w:rPr>
        <w:t xml:space="preserve">N 244-ФЗ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4. Размещение наружных сетей с горючими жидкостями и газами под зданиями и сооружениями производственного объекта не допускается.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5 - 9. Утратили силу. - Федеральный </w:t>
      </w:r>
      <w:r>
        <w:rPr>
          <w:sz w:val="24"/>
        </w:rPr>
        <w:t xml:space="preserve">закон</w:t>
      </w:r>
      <w:r>
        <w:rPr>
          <w:sz w:val="24"/>
        </w:rPr>
        <w:t xml:space="preserve"> от 29.07.2017 N 244-ФЗ.</w:t>
      </w:r>
    </w:p>
    <w:p>
      <w:pPr>
        <w:pStyle w:val="0"/>
        <w:spacing w:before="240" w:line-rule="auto"/>
        <w:ind w:firstLine="540"/>
        <w:jc w:val="both"/>
      </w:pPr>
      <w:r>
        <w:rPr>
          <w:sz w:val="24"/>
        </w:rPr>
        <w:t xml:space="preserve">10. На территории производственного объекта размещение надземных сетей трубопроводов с горючими жидкостями и газами запрещается для:</w:t>
      </w:r>
    </w:p>
    <w:p>
      <w:pPr>
        <w:pStyle w:val="0"/>
        <w:spacing w:before="240" w:line-rule="auto"/>
        <w:ind w:firstLine="540"/>
        <w:jc w:val="both"/>
      </w:pPr>
      <w:r>
        <w:rPr>
          <w:sz w:val="24"/>
        </w:rPr>
        <w:t xml:space="preserve">1) транзитных внутриплощадочных трубопроводов с горючими жидкостями и газами - по эстакадам, отдельно стоящим колоннам и опорам из горючих материалов, а также по стенам и кровлям зданий, за исключением зданий I и II степеней огнестойкости;</w:t>
      </w:r>
    </w:p>
    <w:p>
      <w:pPr>
        <w:pStyle w:val="0"/>
        <w:spacing w:before="240" w:line-rule="auto"/>
        <w:ind w:firstLine="540"/>
        <w:jc w:val="both"/>
      </w:pPr>
      <w:r>
        <w:rPr>
          <w:sz w:val="24"/>
        </w:rPr>
        <w:t xml:space="preserve">2) трубопроводов с горючими жидкостями и газами - в галереях, если смешение этих продуктов может вызвать пожар или взрыв;</w:t>
      </w:r>
    </w:p>
    <w:p>
      <w:pPr>
        <w:pStyle w:val="0"/>
        <w:spacing w:before="240" w:line-rule="auto"/>
        <w:ind w:firstLine="540"/>
        <w:jc w:val="both"/>
      </w:pPr>
      <w:r>
        <w:rPr>
          <w:sz w:val="24"/>
        </w:rPr>
        <w:t xml:space="preserve">3) трубопроводов с горючими жидкостями и газами - по сгораемым покрытиям и стенам;</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4) транзитных газопроводов горючих газов - по территории складов твердых и жидких горючих материалов.</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29.07.2017 N 244-ФЗ.</w:t>
      </w:r>
    </w:p>
    <w:p>
      <w:pPr>
        <w:pStyle w:val="0"/>
        <w:ind w:firstLine="540"/>
        <w:jc w:val="both"/>
      </w:pPr>
      <w:r>
        <w:rPr>
          <w:sz w:val="24"/>
        </w:rPr>
      </w:r>
    </w:p>
    <w:p>
      <w:pPr>
        <w:pStyle w:val="2"/>
        <w:outlineLvl w:val="1"/>
        <w:jc w:val="center"/>
      </w:pPr>
      <w:r>
        <w:rPr>
          <w:sz w:val="24"/>
        </w:rPr>
        <w:t xml:space="preserve">Раздел V. ТРЕБОВАНИЯ ПОЖАРНОЙ БЕЗОПАСНОСТИ</w:t>
      </w:r>
    </w:p>
    <w:p>
      <w:pPr>
        <w:pStyle w:val="2"/>
        <w:jc w:val="center"/>
      </w:pPr>
      <w:r>
        <w:rPr>
          <w:sz w:val="24"/>
        </w:rPr>
        <w:t xml:space="preserve">К ПОЖАРНОЙ ТЕХНИКЕ</w:t>
      </w:r>
    </w:p>
    <w:p>
      <w:pPr>
        <w:pStyle w:val="0"/>
        <w:jc w:val="center"/>
      </w:pPr>
      <w:r>
        <w:rPr>
          <w:sz w:val="24"/>
        </w:rPr>
      </w:r>
    </w:p>
    <w:p>
      <w:pPr>
        <w:pStyle w:val="2"/>
        <w:outlineLvl w:val="2"/>
        <w:jc w:val="center"/>
      </w:pPr>
      <w:r>
        <w:rPr>
          <w:sz w:val="24"/>
        </w:rPr>
        <w:t xml:space="preserve">Глава 23. ОБЩИЕ ТРЕБОВАНИЯ</w:t>
      </w:r>
    </w:p>
    <w:p>
      <w:pPr>
        <w:pStyle w:val="0"/>
        <w:ind w:firstLine="540"/>
        <w:jc w:val="both"/>
      </w:pPr>
      <w:r>
        <w:rPr>
          <w:sz w:val="24"/>
        </w:rPr>
      </w:r>
    </w:p>
    <w:p>
      <w:pPr>
        <w:pStyle w:val="2"/>
        <w:outlineLvl w:val="3"/>
        <w:ind w:firstLine="540"/>
        <w:jc w:val="both"/>
      </w:pPr>
      <w:r>
        <w:rPr>
          <w:sz w:val="24"/>
        </w:rPr>
        <w:t xml:space="preserve">Статьи 101 - 102. Утратили силу. - Федеральный </w:t>
      </w:r>
      <w:r>
        <w:rPr>
          <w:sz w:val="24"/>
        </w:rPr>
        <w:t xml:space="preserve">закон</w:t>
      </w:r>
      <w:r>
        <w:rPr>
          <w:sz w:val="24"/>
        </w:rPr>
        <w:t xml:space="preserve"> от 14.07.2022 N 276-ФЗ.</w:t>
      </w:r>
    </w:p>
    <w:p>
      <w:pPr>
        <w:pStyle w:val="0"/>
        <w:ind w:firstLine="540"/>
        <w:jc w:val="both"/>
      </w:pPr>
      <w:r>
        <w:rPr>
          <w:sz w:val="24"/>
        </w:rPr>
      </w:r>
    </w:p>
    <w:bookmarkStart w:id="1459" w:name="P1459"/>
    <w:bookmarkEnd w:id="1459"/>
    <w:p>
      <w:pPr>
        <w:pStyle w:val="2"/>
        <w:outlineLvl w:val="3"/>
        <w:ind w:firstLine="540"/>
        <w:jc w:val="both"/>
      </w:pPr>
      <w:r>
        <w:rPr>
          <w:sz w:val="24"/>
        </w:rPr>
        <w:t xml:space="preserve">Статья 103. Требования к автоматическим установкам пожарной сигнализации</w:t>
      </w:r>
    </w:p>
    <w:p>
      <w:pPr>
        <w:pStyle w:val="0"/>
        <w:ind w:firstLine="540"/>
        <w:jc w:val="both"/>
      </w:pPr>
      <w:r>
        <w:rPr>
          <w:sz w:val="24"/>
        </w:rPr>
      </w:r>
    </w:p>
    <w:p>
      <w:pPr>
        <w:pStyle w:val="0"/>
        <w:ind w:firstLine="540"/>
        <w:jc w:val="both"/>
      </w:pPr>
      <w:r>
        <w:rPr>
          <w:sz w:val="24"/>
        </w:rPr>
        <w:t xml:space="preserve">1. Утратил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2. Линии связи между техническими средствами автоматических установок пожарной сигнализации должны сохранять работоспособность в условиях пожара в течение времени, необходимого для выполнения их функций.</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3. Приборы управления пожарным оборудованием автоматических установок пожарной сигнализации должны обеспечивать принцип управления в соответствии с типом управляемого оборудования и требованиями конкретного объекта.</w:t>
      </w:r>
    </w:p>
    <w:p>
      <w:pPr>
        <w:pStyle w:val="0"/>
        <w:spacing w:before="240" w:line-rule="auto"/>
        <w:ind w:firstLine="540"/>
        <w:jc w:val="both"/>
      </w:pPr>
      <w:r>
        <w:rPr>
          <w:sz w:val="24"/>
        </w:rPr>
        <w:t xml:space="preserve">4. Технические средства автоматических установок пожарной сигнализации должны быть обеспечены бесперебойным электропитанием на время выполнения ими своих функций.</w:t>
      </w:r>
    </w:p>
    <w:p>
      <w:pPr>
        <w:pStyle w:val="0"/>
        <w:spacing w:before="240" w:line-rule="auto"/>
        <w:ind w:firstLine="540"/>
        <w:jc w:val="both"/>
      </w:pPr>
      <w:r>
        <w:rPr>
          <w:sz w:val="24"/>
        </w:rPr>
        <w:t xml:space="preserve">5 - 6. Утратили силу. - Федеральный </w:t>
      </w:r>
      <w:r>
        <w:rPr>
          <w:sz w:val="24"/>
        </w:rPr>
        <w:t xml:space="preserve">закон</w:t>
      </w:r>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104. Требования к автоматическим установкам пожаротушения</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ind w:firstLine="540"/>
        <w:jc w:val="both"/>
      </w:pPr>
      <w:r>
        <w:rPr>
          <w:sz w:val="24"/>
        </w:rPr>
      </w:r>
    </w:p>
    <w:p>
      <w:pPr>
        <w:pStyle w:val="0"/>
        <w:ind w:firstLine="540"/>
        <w:jc w:val="both"/>
      </w:pPr>
      <w:r>
        <w:rPr>
          <w:sz w:val="24"/>
        </w:rPr>
        <w:t xml:space="preserve">1. Автоматические, в том числе автономные, установки пожаротушения должны обеспечивать ликвидацию пожара поверхностным или объемным способом подачи огнетушащего вещества в целях создания условий, препятствующих возникновению и развитию процесса горения.</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2. Тушение пожара объемным способом должно обеспечивать создание среды, не поддерживающей горение во всем объеме объекта защиты.</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Тушение пожара поверхностным способом должно обеспечивать ликвидацию процесса горения путем подачи огнетушащего вещества на защищаемую площадь.</w:t>
      </w:r>
    </w:p>
    <w:p>
      <w:pPr>
        <w:pStyle w:val="0"/>
        <w:spacing w:before="240" w:line-rule="auto"/>
        <w:ind w:firstLine="540"/>
        <w:jc w:val="both"/>
      </w:pPr>
      <w:r>
        <w:rPr>
          <w:sz w:val="24"/>
        </w:rPr>
        <w:t xml:space="preserve">4. Срабатывание автоматических, в том числе автономных, установок пожаротушения не должно приводить к возникновению пожара и (или) взрыва горючих материалов в помещениях зданий, сооружений и на открытых площадках.</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5. На линии связи и технические средства автоматических установок пожаротушения дополнительно распространяются требования, установленные </w:t>
      </w:r>
      <w:hyperlink w:history="0" w:anchor="P1459" w:tooltip="Статья 103. Требования к автоматическим установкам пожарной сигнализации">
        <w:r>
          <w:rPr>
            <w:sz w:val="24"/>
            <w:color w:val="0000ff"/>
          </w:rPr>
          <w:t xml:space="preserve">статьей 103</w:t>
        </w:r>
      </w:hyperlink>
      <w:r>
        <w:rPr>
          <w:sz w:val="24"/>
        </w:rPr>
        <w:t xml:space="preserve"> настоящего Федерального закона.</w:t>
      </w:r>
    </w:p>
    <w:p>
      <w:pPr>
        <w:pStyle w:val="0"/>
        <w:jc w:val="both"/>
      </w:pPr>
      <w:r>
        <w:rPr>
          <w:sz w:val="24"/>
        </w:rPr>
        <w:t xml:space="preserve">(часть 5 введена Федеральным </w:t>
      </w:r>
      <w:r>
        <w:rPr>
          <w:sz w:val="24"/>
        </w:rPr>
        <w:t xml:space="preserve">законом</w:t>
      </w:r>
      <w:r>
        <w:rPr>
          <w:sz w:val="24"/>
        </w:rPr>
        <w:t xml:space="preserve"> от 10.07.2012 N 117-ФЗ)</w:t>
      </w:r>
    </w:p>
    <w:p>
      <w:pPr>
        <w:pStyle w:val="0"/>
        <w:ind w:firstLine="540"/>
        <w:jc w:val="both"/>
      </w:pPr>
      <w:r>
        <w:rPr>
          <w:sz w:val="24"/>
        </w:rPr>
      </w:r>
    </w:p>
    <w:p>
      <w:pPr>
        <w:pStyle w:val="2"/>
        <w:outlineLvl w:val="2"/>
        <w:jc w:val="center"/>
      </w:pPr>
      <w:r>
        <w:rPr>
          <w:sz w:val="24"/>
        </w:rPr>
        <w:t xml:space="preserve">Глава 24. ТРЕБОВАНИЯ К ПЕРВИЧНЫМ СРЕДСТВАМ ПОЖАРОТУШЕНИЯ</w:t>
      </w:r>
    </w:p>
    <w:p>
      <w:pPr>
        <w:pStyle w:val="2"/>
        <w:jc w:val="center"/>
      </w:pPr>
      <w:r>
        <w:rPr>
          <w:sz w:val="24"/>
        </w:rPr>
        <w:t xml:space="preserve">(СТАТЬИ 105 - 107)</w:t>
      </w:r>
    </w:p>
    <w:p>
      <w:pPr>
        <w:pStyle w:val="0"/>
        <w:ind w:firstLine="540"/>
        <w:jc w:val="both"/>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25. ТРЕБОВАНИЯ К МОБИЛЬНЫМ СРЕДСТВАМ ПОЖАРОТУШЕНИЯ</w:t>
      </w:r>
    </w:p>
    <w:p>
      <w:pPr>
        <w:pStyle w:val="2"/>
        <w:jc w:val="center"/>
      </w:pPr>
      <w:r>
        <w:rPr>
          <w:sz w:val="24"/>
        </w:rPr>
        <w:t xml:space="preserve">(СТАТЬИ 108 - 110)</w:t>
      </w:r>
    </w:p>
    <w:p>
      <w:pPr>
        <w:pStyle w:val="0"/>
        <w:ind w:firstLine="540"/>
        <w:jc w:val="both"/>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26. ТРЕБОВАНИЯ К АВТОМАТИЧЕСКИМ</w:t>
      </w:r>
    </w:p>
    <w:p>
      <w:pPr>
        <w:pStyle w:val="2"/>
        <w:jc w:val="center"/>
      </w:pPr>
      <w:r>
        <w:rPr>
          <w:sz w:val="24"/>
        </w:rPr>
        <w:t xml:space="preserve">УСТАНОВКАМ ПОЖАРОТУШЕНИЯ</w:t>
      </w:r>
    </w:p>
    <w:p>
      <w:pPr>
        <w:pStyle w:val="0"/>
        <w:ind w:firstLine="540"/>
        <w:jc w:val="both"/>
      </w:pPr>
      <w:r>
        <w:rPr>
          <w:sz w:val="24"/>
        </w:rPr>
      </w:r>
    </w:p>
    <w:p>
      <w:pPr>
        <w:pStyle w:val="2"/>
        <w:outlineLvl w:val="3"/>
        <w:ind w:firstLine="540"/>
        <w:jc w:val="both"/>
      </w:pPr>
      <w:r>
        <w:rPr>
          <w:sz w:val="24"/>
        </w:rPr>
        <w:t xml:space="preserve">Статья 111. Требования к автоматическим установкам жидкостного и пенного пожаротушения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Автоматические установки жидкостного и пенного пожаротушения должны обеспечивать:</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 своевременное обнаружение пожара и автоматический запуск установки пожаротушения;</w:t>
      </w:r>
    </w:p>
    <w:p>
      <w:pPr>
        <w:pStyle w:val="0"/>
        <w:jc w:val="both"/>
      </w:pPr>
      <w:r>
        <w:rPr>
          <w:sz w:val="24"/>
        </w:rPr>
        <w:t xml:space="preserve">(п. 1 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подачу воды, водного раствора или других огнетушащих жидкостей из оросителей (спринклерных, дренчерных) либо насадков с требуемой интенсивностью подачи огнетушащей жидкости;</w:t>
      </w:r>
    </w:p>
    <w:p>
      <w:pPr>
        <w:pStyle w:val="0"/>
        <w:jc w:val="both"/>
      </w:pPr>
      <w:r>
        <w:rPr>
          <w:sz w:val="24"/>
        </w:rPr>
        <w:t xml:space="preserve">(п. 2 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подачу пены из пеногенерирующих устройств автоматических установок пенного пожаротушения с требуемыми кратностью и интенсивностью подачи пены.</w:t>
      </w:r>
    </w:p>
    <w:p>
      <w:pPr>
        <w:pStyle w:val="0"/>
        <w:ind w:firstLine="540"/>
        <w:jc w:val="both"/>
      </w:pPr>
      <w:r>
        <w:rPr>
          <w:sz w:val="24"/>
        </w:rPr>
      </w:r>
    </w:p>
    <w:p>
      <w:pPr>
        <w:pStyle w:val="2"/>
        <w:outlineLvl w:val="3"/>
        <w:ind w:firstLine="540"/>
        <w:jc w:val="both"/>
      </w:pPr>
      <w:r>
        <w:rPr>
          <w:sz w:val="24"/>
        </w:rPr>
        <w:t xml:space="preserve">Статья 112. Требования к автоматическим установкам газового пожаротушения</w:t>
      </w:r>
    </w:p>
    <w:p>
      <w:pPr>
        <w:pStyle w:val="0"/>
        <w:ind w:firstLine="540"/>
        <w:jc w:val="both"/>
      </w:pPr>
      <w:r>
        <w:rPr>
          <w:sz w:val="24"/>
        </w:rPr>
      </w:r>
    </w:p>
    <w:p>
      <w:pPr>
        <w:pStyle w:val="0"/>
        <w:ind w:firstLine="540"/>
        <w:jc w:val="both"/>
      </w:pPr>
      <w:r>
        <w:rPr>
          <w:sz w:val="24"/>
        </w:rPr>
        <w:t xml:space="preserve">Автоматические установки газового пожаротушения должны обеспечивать:</w:t>
      </w:r>
    </w:p>
    <w:p>
      <w:pPr>
        <w:pStyle w:val="0"/>
        <w:spacing w:before="240" w:line-rule="auto"/>
        <w:ind w:firstLine="540"/>
        <w:jc w:val="both"/>
      </w:pPr>
      <w:r>
        <w:rPr>
          <w:sz w:val="24"/>
        </w:rPr>
        <w:t xml:space="preserve">1) своевременное обнаружение пожара автоматической установкой пожарной сигнализации, входящей в состав автоматической установки газового пожаротушения;</w:t>
      </w:r>
    </w:p>
    <w:p>
      <w:pPr>
        <w:pStyle w:val="0"/>
        <w:spacing w:before="240" w:line-rule="auto"/>
        <w:ind w:firstLine="540"/>
        <w:jc w:val="both"/>
      </w:pPr>
      <w:r>
        <w:rPr>
          <w:sz w:val="24"/>
        </w:rPr>
        <w:t xml:space="preserve">2) возможность задержки подачи газового огнетушащего вещества в течение времени, необходимого для эвакуации людей из защищаемого помещения;</w:t>
      </w:r>
    </w:p>
    <w:p>
      <w:pPr>
        <w:pStyle w:val="0"/>
        <w:spacing w:before="240" w:line-rule="auto"/>
        <w:ind w:firstLine="540"/>
        <w:jc w:val="both"/>
      </w:pPr>
      <w:r>
        <w:rPr>
          <w:sz w:val="24"/>
        </w:rPr>
        <w:t xml:space="preserve">3) создание огнетушащей концентрации газового огнетушащего вещества в защищаемом объеме или над поверхностью горящего материала за время, необходимое для тушения пожара.</w:t>
      </w:r>
    </w:p>
    <w:p>
      <w:pPr>
        <w:pStyle w:val="0"/>
        <w:ind w:firstLine="540"/>
        <w:jc w:val="both"/>
      </w:pPr>
      <w:r>
        <w:rPr>
          <w:sz w:val="24"/>
        </w:rPr>
      </w:r>
    </w:p>
    <w:p>
      <w:pPr>
        <w:pStyle w:val="2"/>
        <w:outlineLvl w:val="3"/>
        <w:ind w:firstLine="540"/>
        <w:jc w:val="both"/>
      </w:pPr>
      <w:r>
        <w:rPr>
          <w:sz w:val="24"/>
        </w:rPr>
        <w:t xml:space="preserve">Статья 113. Требования к автоматическим установкам порошкового пожаротушения</w:t>
      </w:r>
    </w:p>
    <w:p>
      <w:pPr>
        <w:pStyle w:val="0"/>
        <w:ind w:firstLine="540"/>
        <w:jc w:val="both"/>
      </w:pPr>
      <w:r>
        <w:rPr>
          <w:sz w:val="24"/>
        </w:rPr>
      </w:r>
    </w:p>
    <w:p>
      <w:pPr>
        <w:pStyle w:val="0"/>
        <w:ind w:firstLine="540"/>
        <w:jc w:val="both"/>
      </w:pPr>
      <w:r>
        <w:rPr>
          <w:sz w:val="24"/>
        </w:rPr>
        <w:t xml:space="preserve">Автоматические установки порошкового пожаротушения должны обеспечивать:</w:t>
      </w:r>
    </w:p>
    <w:p>
      <w:pPr>
        <w:pStyle w:val="0"/>
        <w:spacing w:before="240" w:line-rule="auto"/>
        <w:ind w:firstLine="540"/>
        <w:jc w:val="both"/>
      </w:pPr>
      <w:r>
        <w:rPr>
          <w:sz w:val="24"/>
        </w:rPr>
        <w:t xml:space="preserve">1) 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w:t>
      </w:r>
    </w:p>
    <w:p>
      <w:pPr>
        <w:pStyle w:val="0"/>
        <w:spacing w:before="240" w:line-rule="auto"/>
        <w:ind w:firstLine="540"/>
        <w:jc w:val="both"/>
      </w:pPr>
      <w:r>
        <w:rPr>
          <w:sz w:val="24"/>
        </w:rPr>
        <w:t xml:space="preserve">2) подачу порошка из распылителей автоматических установок порошкового пожаротушения с требуемой интенсивностью подачи порошка.</w:t>
      </w:r>
    </w:p>
    <w:p>
      <w:pPr>
        <w:pStyle w:val="0"/>
        <w:ind w:firstLine="540"/>
        <w:jc w:val="both"/>
      </w:pPr>
      <w:r>
        <w:rPr>
          <w:sz w:val="24"/>
        </w:rPr>
      </w:r>
    </w:p>
    <w:p>
      <w:pPr>
        <w:pStyle w:val="2"/>
        <w:outlineLvl w:val="3"/>
        <w:ind w:firstLine="540"/>
        <w:jc w:val="both"/>
      </w:pPr>
      <w:r>
        <w:rPr>
          <w:sz w:val="24"/>
        </w:rPr>
        <w:t xml:space="preserve">Статья 114. Требования к автоматическим установкам аэрозольного пожаротушения</w:t>
      </w:r>
    </w:p>
    <w:p>
      <w:pPr>
        <w:pStyle w:val="0"/>
        <w:ind w:firstLine="540"/>
        <w:jc w:val="both"/>
      </w:pPr>
      <w:r>
        <w:rPr>
          <w:sz w:val="24"/>
        </w:rPr>
      </w:r>
    </w:p>
    <w:p>
      <w:pPr>
        <w:pStyle w:val="0"/>
        <w:ind w:firstLine="540"/>
        <w:jc w:val="both"/>
      </w:pPr>
      <w:r>
        <w:rPr>
          <w:sz w:val="24"/>
        </w:rPr>
        <w:t xml:space="preserve">Автоматические установки аэрозольного пожаротушения должны обеспечивать:</w:t>
      </w:r>
    </w:p>
    <w:p>
      <w:pPr>
        <w:pStyle w:val="0"/>
        <w:spacing w:before="240" w:line-rule="auto"/>
        <w:ind w:firstLine="540"/>
        <w:jc w:val="both"/>
      </w:pPr>
      <w:r>
        <w:rPr>
          <w:sz w:val="24"/>
        </w:rPr>
        <w:t xml:space="preserve">1) своевременное обнаружение пожара автоматической установкой пожарной сигнализации, входящей в состав автоматической установки аэрозольного пожаротушения;</w:t>
      </w:r>
    </w:p>
    <w:p>
      <w:pPr>
        <w:pStyle w:val="0"/>
        <w:spacing w:before="240" w:line-rule="auto"/>
        <w:ind w:firstLine="540"/>
        <w:jc w:val="both"/>
      </w:pPr>
      <w:r>
        <w:rPr>
          <w:sz w:val="24"/>
        </w:rPr>
        <w:t xml:space="preserve">2) возможность задержки подачи огнетушащего аэрозоля в течение времени, необходимого для эвакуации людей из защищаемого помещения;</w:t>
      </w:r>
    </w:p>
    <w:p>
      <w:pPr>
        <w:pStyle w:val="0"/>
        <w:spacing w:before="240" w:line-rule="auto"/>
        <w:ind w:firstLine="540"/>
        <w:jc w:val="both"/>
      </w:pPr>
      <w:r>
        <w:rPr>
          <w:sz w:val="24"/>
        </w:rPr>
        <w:t xml:space="preserve">3) создание огнетушащей концентрации огнетушащего аэрозоля в защищаемом объеме за время, необходимое для тушения пожара;</w:t>
      </w:r>
    </w:p>
    <w:p>
      <w:pPr>
        <w:pStyle w:val="0"/>
        <w:spacing w:before="240" w:line-rule="auto"/>
        <w:ind w:firstLine="540"/>
        <w:jc w:val="both"/>
      </w:pPr>
      <w:r>
        <w:rPr>
          <w:sz w:val="24"/>
        </w:rPr>
        <w:t xml:space="preserve">4) исключение возможности воздействия на людей и горючие материалы высокотемпературных участков поверхности генератора и струи огнетушащего аэрозоля.</w:t>
      </w:r>
    </w:p>
    <w:p>
      <w:pPr>
        <w:pStyle w:val="0"/>
        <w:ind w:firstLine="540"/>
        <w:jc w:val="both"/>
      </w:pPr>
      <w:r>
        <w:rPr>
          <w:sz w:val="24"/>
        </w:rPr>
      </w:r>
    </w:p>
    <w:p>
      <w:pPr>
        <w:pStyle w:val="2"/>
        <w:outlineLvl w:val="3"/>
        <w:ind w:firstLine="540"/>
        <w:jc w:val="both"/>
      </w:pPr>
      <w:r>
        <w:rPr>
          <w:sz w:val="24"/>
        </w:rPr>
        <w:t xml:space="preserve">Статья 115. Требования к автоматическим установкам комбинированного пожаротушения</w:t>
      </w:r>
    </w:p>
    <w:p>
      <w:pPr>
        <w:pStyle w:val="0"/>
        <w:ind w:firstLine="540"/>
        <w:jc w:val="both"/>
      </w:pPr>
      <w:r>
        <w:rPr>
          <w:sz w:val="24"/>
        </w:rPr>
      </w:r>
    </w:p>
    <w:p>
      <w:pPr>
        <w:pStyle w:val="0"/>
        <w:ind w:firstLine="540"/>
        <w:jc w:val="both"/>
      </w:pPr>
      <w:r>
        <w:rPr>
          <w:sz w:val="24"/>
        </w:rPr>
        <w:t xml:space="preserve">Автоматические установки комбинированного пожаротушения должны соответствовать требованиям, предъявляемым к установкам автоматического пожаротушения, из которых они состоят.</w:t>
      </w:r>
    </w:p>
    <w:p>
      <w:pPr>
        <w:pStyle w:val="0"/>
        <w:ind w:firstLine="540"/>
        <w:jc w:val="both"/>
      </w:pPr>
      <w:r>
        <w:rPr>
          <w:sz w:val="24"/>
        </w:rPr>
      </w:r>
    </w:p>
    <w:p>
      <w:pPr>
        <w:pStyle w:val="2"/>
        <w:outlineLvl w:val="3"/>
        <w:ind w:firstLine="540"/>
        <w:jc w:val="both"/>
      </w:pPr>
      <w:r>
        <w:rPr>
          <w:sz w:val="24"/>
        </w:rPr>
        <w:t xml:space="preserve">Статья 116. </w:t>
      </w:r>
      <w:r>
        <w:rPr>
          <w:sz w:val="24"/>
        </w:rPr>
        <w:t xml:space="preserve">Требования</w:t>
      </w:r>
      <w:r>
        <w:rPr>
          <w:sz w:val="24"/>
        </w:rPr>
        <w:t xml:space="preserve"> к роботизированным установкам пожаротушения</w:t>
      </w:r>
    </w:p>
    <w:p>
      <w:pPr>
        <w:pStyle w:val="0"/>
        <w:ind w:firstLine="540"/>
        <w:jc w:val="both"/>
      </w:pPr>
      <w:r>
        <w:rPr>
          <w:sz w:val="24"/>
        </w:rPr>
      </w:r>
    </w:p>
    <w:p>
      <w:pPr>
        <w:pStyle w:val="0"/>
        <w:ind w:firstLine="540"/>
        <w:jc w:val="both"/>
      </w:pPr>
      <w:r>
        <w:rPr>
          <w:sz w:val="24"/>
        </w:rPr>
        <w:t xml:space="preserve">Роботизированные установки пожаротушения должны обеспечивать:</w:t>
      </w:r>
    </w:p>
    <w:p>
      <w:pPr>
        <w:pStyle w:val="0"/>
        <w:spacing w:before="240" w:line-rule="auto"/>
        <w:ind w:firstLine="540"/>
        <w:jc w:val="both"/>
      </w:pPr>
      <w:r>
        <w:rPr>
          <w:sz w:val="24"/>
        </w:rPr>
        <w:t xml:space="preserve">1) обнаружение и ликвидацию или ограничение распространения пожара за пределы очага без непосредственного присутствия человека в зоне работы установки;</w:t>
      </w:r>
    </w:p>
    <w:p>
      <w:pPr>
        <w:pStyle w:val="0"/>
        <w:spacing w:before="240" w:line-rule="auto"/>
        <w:ind w:firstLine="540"/>
        <w:jc w:val="both"/>
      </w:pPr>
      <w:r>
        <w:rPr>
          <w:sz w:val="24"/>
        </w:rPr>
        <w:t xml:space="preserve">2) возможность дистанционного управления установкой и передачи оператору информации с места работы установки;</w:t>
      </w:r>
    </w:p>
    <w:p>
      <w:pPr>
        <w:pStyle w:val="0"/>
        <w:spacing w:before="240" w:line-rule="auto"/>
        <w:ind w:firstLine="540"/>
        <w:jc w:val="both"/>
      </w:pPr>
      <w:r>
        <w:rPr>
          <w:sz w:val="24"/>
        </w:rPr>
        <w:t xml:space="preserve">3) возможность выполнения установкой своих функций в условиях воздействия опасных факторов пожара или взрыва, радиационного, химического или иного опасного для человека и окружающей среды воздействия.</w:t>
      </w:r>
    </w:p>
    <w:p>
      <w:pPr>
        <w:pStyle w:val="0"/>
        <w:ind w:firstLine="540"/>
        <w:jc w:val="both"/>
      </w:pPr>
      <w:r>
        <w:rPr>
          <w:sz w:val="24"/>
        </w:rPr>
      </w:r>
    </w:p>
    <w:p>
      <w:pPr>
        <w:pStyle w:val="2"/>
        <w:outlineLvl w:val="3"/>
        <w:ind w:firstLine="540"/>
        <w:jc w:val="both"/>
      </w:pPr>
      <w:r>
        <w:rPr>
          <w:sz w:val="24"/>
        </w:rPr>
        <w:t xml:space="preserve">Статья 117. Требования к автоматическим установкам сдерживания пожара</w:t>
      </w:r>
    </w:p>
    <w:p>
      <w:pPr>
        <w:pStyle w:val="0"/>
        <w:ind w:firstLine="540"/>
        <w:jc w:val="both"/>
      </w:pPr>
      <w:r>
        <w:rPr>
          <w:sz w:val="24"/>
        </w:rPr>
      </w:r>
    </w:p>
    <w:p>
      <w:pPr>
        <w:pStyle w:val="0"/>
        <w:ind w:firstLine="540"/>
        <w:jc w:val="both"/>
      </w:pPr>
      <w:r>
        <w:rPr>
          <w:sz w:val="24"/>
        </w:rPr>
        <w:t xml:space="preserve">1. Автоматические установки сдерживания пожара должны обеспечивать снижение скорости увеличения площади пожара и образования его опасных факторов.</w:t>
      </w:r>
    </w:p>
    <w:p>
      <w:pPr>
        <w:pStyle w:val="0"/>
        <w:spacing w:before="240" w:line-rule="auto"/>
        <w:ind w:firstLine="540"/>
        <w:jc w:val="both"/>
      </w:pPr>
      <w:r>
        <w:rPr>
          <w:sz w:val="24"/>
        </w:rPr>
        <w:t xml:space="preserve">2. Автоматические установки сдерживания пожара должны применяться в помещениях, в которых применение других автоматических установок пожаротушения нецелесообразно или технически невозможно.</w:t>
      </w:r>
    </w:p>
    <w:p>
      <w:pPr>
        <w:pStyle w:val="0"/>
        <w:spacing w:before="240" w:line-rule="auto"/>
        <w:ind w:firstLine="540"/>
        <w:jc w:val="both"/>
      </w:pPr>
      <w:r>
        <w:rPr>
          <w:sz w:val="24"/>
        </w:rPr>
        <w:t xml:space="preserve">3. Вид огнетушащих веществ, используемых в автоматических установках сдерживания пожара, определяется особенностями объекта защиты, вида и размещения пожарной нагрузки.</w:t>
      </w:r>
    </w:p>
    <w:p>
      <w:pPr>
        <w:pStyle w:val="0"/>
        <w:ind w:firstLine="540"/>
        <w:jc w:val="both"/>
      </w:pPr>
      <w:r>
        <w:rPr>
          <w:sz w:val="24"/>
        </w:rPr>
      </w:r>
    </w:p>
    <w:p>
      <w:pPr>
        <w:pStyle w:val="2"/>
        <w:outlineLvl w:val="2"/>
        <w:jc w:val="center"/>
      </w:pPr>
      <w:r>
        <w:rPr>
          <w:sz w:val="24"/>
        </w:rPr>
        <w:t xml:space="preserve">Глава 27. ТРЕБОВАНИЯ К СРЕДСТВАМ ИНДИВИДУАЛЬНОЙ ЗАЩИТЫ</w:t>
      </w:r>
    </w:p>
    <w:p>
      <w:pPr>
        <w:pStyle w:val="2"/>
        <w:jc w:val="center"/>
      </w:pPr>
      <w:r>
        <w:rPr>
          <w:sz w:val="24"/>
        </w:rPr>
        <w:t xml:space="preserve">ПОЖАРНЫХ И ГРАЖДАН ПРИ ПОЖАРЕ (СТАТЬИ 118 - 123)</w:t>
      </w:r>
    </w:p>
    <w:p>
      <w:pPr>
        <w:pStyle w:val="0"/>
        <w:ind w:firstLine="540"/>
        <w:jc w:val="both"/>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28. ТРЕБОВАНИЯ К ПОЖАРНОМУ ИНСТРУМЕНТУ</w:t>
      </w:r>
    </w:p>
    <w:p>
      <w:pPr>
        <w:pStyle w:val="2"/>
        <w:jc w:val="center"/>
      </w:pPr>
      <w:r>
        <w:rPr>
          <w:sz w:val="24"/>
        </w:rPr>
        <w:t xml:space="preserve">И ДОПОЛНИТЕЛЬНОМУ СНАРЯЖЕНИЮ ПОЖАРНЫХ (СТАТЬИ 124 - 125)</w:t>
      </w:r>
    </w:p>
    <w:p>
      <w:pPr>
        <w:pStyle w:val="0"/>
        <w:ind w:firstLine="540"/>
        <w:jc w:val="both"/>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29. ТРЕБОВАНИЯ К ПОЖАРНОМУ ОБОРУДОВАНИЮ</w:t>
      </w:r>
    </w:p>
    <w:p>
      <w:pPr>
        <w:pStyle w:val="2"/>
        <w:jc w:val="center"/>
      </w:pPr>
      <w:r>
        <w:rPr>
          <w:sz w:val="24"/>
        </w:rPr>
        <w:t xml:space="preserve">(СТАТЬИ 126 - 132)</w:t>
      </w:r>
    </w:p>
    <w:p>
      <w:pPr>
        <w:pStyle w:val="0"/>
        <w:ind w:firstLine="540"/>
        <w:jc w:val="both"/>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14.07.2022 N 276-ФЗ.</w:t>
      </w:r>
    </w:p>
    <w:p>
      <w:pPr>
        <w:pStyle w:val="0"/>
        <w:ind w:firstLine="540"/>
        <w:jc w:val="both"/>
      </w:pPr>
      <w:r>
        <w:rPr>
          <w:sz w:val="24"/>
        </w:rPr>
      </w:r>
    </w:p>
    <w:p>
      <w:pPr>
        <w:pStyle w:val="2"/>
        <w:outlineLvl w:val="1"/>
        <w:jc w:val="center"/>
      </w:pPr>
      <w:r>
        <w:rPr>
          <w:sz w:val="24"/>
        </w:rPr>
        <w:t xml:space="preserve">Раздел VI. ТРЕБОВАНИЯ ПОЖАРНОЙ БЕЗОПАСНОСТИ К ПРОДУКЦИИ</w:t>
      </w:r>
    </w:p>
    <w:p>
      <w:pPr>
        <w:pStyle w:val="2"/>
        <w:jc w:val="center"/>
      </w:pPr>
      <w:r>
        <w:rPr>
          <w:sz w:val="24"/>
        </w:rPr>
        <w:t xml:space="preserve">ОБЩЕГО НАЗНАЧЕНИЯ</w:t>
      </w:r>
    </w:p>
    <w:p>
      <w:pPr>
        <w:pStyle w:val="0"/>
        <w:jc w:val="center"/>
      </w:pPr>
      <w:r>
        <w:rPr>
          <w:sz w:val="24"/>
        </w:rPr>
      </w:r>
    </w:p>
    <w:p>
      <w:pPr>
        <w:pStyle w:val="2"/>
        <w:outlineLvl w:val="2"/>
        <w:jc w:val="center"/>
      </w:pPr>
      <w:r>
        <w:rPr>
          <w:sz w:val="24"/>
        </w:rPr>
        <w:t xml:space="preserve">Глава 30. ТРЕБОВАНИЯ ПОЖАРНОЙ БЕЗОПАСНОСТИ</w:t>
      </w:r>
    </w:p>
    <w:p>
      <w:pPr>
        <w:pStyle w:val="2"/>
        <w:jc w:val="center"/>
      </w:pPr>
      <w:r>
        <w:rPr>
          <w:sz w:val="24"/>
        </w:rPr>
        <w:t xml:space="preserve">К ВЕЩЕСТВАМ И МАТЕРИАЛАМ</w:t>
      </w:r>
    </w:p>
    <w:p>
      <w:pPr>
        <w:pStyle w:val="0"/>
        <w:ind w:firstLine="540"/>
        <w:jc w:val="both"/>
      </w:pPr>
      <w:r>
        <w:rPr>
          <w:sz w:val="24"/>
        </w:rPr>
      </w:r>
    </w:p>
    <w:p>
      <w:pPr>
        <w:pStyle w:val="2"/>
        <w:outlineLvl w:val="3"/>
        <w:ind w:firstLine="540"/>
        <w:jc w:val="both"/>
      </w:pPr>
      <w:r>
        <w:rPr>
          <w:sz w:val="24"/>
        </w:rPr>
        <w:t xml:space="preserve">Статья 133. Требования пожарной безопасности к информации о пожарной опасности веществ и материалов</w:t>
      </w:r>
    </w:p>
    <w:p>
      <w:pPr>
        <w:pStyle w:val="0"/>
        <w:ind w:firstLine="540"/>
        <w:jc w:val="both"/>
      </w:pPr>
      <w:r>
        <w:rPr>
          <w:sz w:val="24"/>
        </w:rPr>
      </w:r>
    </w:p>
    <w:p>
      <w:pPr>
        <w:pStyle w:val="0"/>
        <w:ind w:firstLine="540"/>
        <w:jc w:val="both"/>
      </w:pPr>
      <w:r>
        <w:rPr>
          <w:sz w:val="24"/>
        </w:rPr>
        <w:t xml:space="preserve">1. Производитель (поставщик) должен разработать техническую документацию на вещества и материалы, содержащую информацию о пожарной безопасности при производстве, применении и хранении этой продукции.</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 Техническая документация на вещества и материалы (в том числе паспорта, технические условия, технологические регламенты) должна содержать информацию о показателях пожарной опасности веществ и материалов.</w:t>
      </w:r>
    </w:p>
    <w:p>
      <w:pPr>
        <w:pStyle w:val="0"/>
        <w:spacing w:before="240" w:line-rule="auto"/>
        <w:ind w:firstLine="540"/>
        <w:jc w:val="both"/>
      </w:pPr>
      <w:r>
        <w:rPr>
          <w:sz w:val="24"/>
        </w:rPr>
        <w:t xml:space="preserve">3. Обязательными показателями для включения в техническую документацию являются:</w:t>
      </w:r>
    </w:p>
    <w:p>
      <w:pPr>
        <w:pStyle w:val="0"/>
        <w:spacing w:before="240" w:line-rule="auto"/>
        <w:ind w:firstLine="540"/>
        <w:jc w:val="both"/>
      </w:pPr>
      <w:r>
        <w:rPr>
          <w:sz w:val="24"/>
        </w:rPr>
        <w:t xml:space="preserve">1) для газов:</w:t>
      </w:r>
    </w:p>
    <w:p>
      <w:pPr>
        <w:pStyle w:val="0"/>
        <w:spacing w:before="240" w:line-rule="auto"/>
        <w:ind w:firstLine="540"/>
        <w:jc w:val="both"/>
      </w:pPr>
      <w:r>
        <w:rPr>
          <w:sz w:val="24"/>
        </w:rPr>
        <w:t xml:space="preserve">а) группа горючести;</w:t>
      </w:r>
    </w:p>
    <w:p>
      <w:pPr>
        <w:pStyle w:val="0"/>
        <w:spacing w:before="240" w:line-rule="auto"/>
        <w:ind w:firstLine="540"/>
        <w:jc w:val="both"/>
      </w:pPr>
      <w:r>
        <w:rPr>
          <w:sz w:val="24"/>
        </w:rPr>
        <w:t xml:space="preserve">б) температура самовоспламенения;</w:t>
      </w:r>
    </w:p>
    <w:p>
      <w:pPr>
        <w:pStyle w:val="0"/>
        <w:spacing w:before="240" w:line-rule="auto"/>
        <w:ind w:firstLine="540"/>
        <w:jc w:val="both"/>
      </w:pPr>
      <w:r>
        <w:rPr>
          <w:sz w:val="24"/>
        </w:rPr>
        <w:t xml:space="preserve">в) концентрационные пределы распространения пламени;</w:t>
      </w:r>
    </w:p>
    <w:p>
      <w:pPr>
        <w:pStyle w:val="0"/>
        <w:spacing w:before="240" w:line-rule="auto"/>
        <w:ind w:firstLine="540"/>
        <w:jc w:val="both"/>
      </w:pPr>
      <w:r>
        <w:rPr>
          <w:sz w:val="24"/>
        </w:rPr>
        <w:t xml:space="preserve">г) максимальное давление взрыва;</w:t>
      </w:r>
    </w:p>
    <w:p>
      <w:pPr>
        <w:pStyle w:val="0"/>
        <w:spacing w:before="240" w:line-rule="auto"/>
        <w:ind w:firstLine="540"/>
        <w:jc w:val="both"/>
      </w:pPr>
      <w:r>
        <w:rPr>
          <w:sz w:val="24"/>
        </w:rPr>
        <w:t xml:space="preserve">д) скорость нарастания давления взрыва;</w:t>
      </w:r>
    </w:p>
    <w:p>
      <w:pPr>
        <w:pStyle w:val="0"/>
        <w:spacing w:before="240" w:line-rule="auto"/>
        <w:ind w:firstLine="540"/>
        <w:jc w:val="both"/>
      </w:pPr>
      <w:r>
        <w:rPr>
          <w:sz w:val="24"/>
        </w:rPr>
        <w:t xml:space="preserve">2) для жидкостей:</w:t>
      </w:r>
    </w:p>
    <w:p>
      <w:pPr>
        <w:pStyle w:val="0"/>
        <w:spacing w:before="240" w:line-rule="auto"/>
        <w:ind w:firstLine="540"/>
        <w:jc w:val="both"/>
      </w:pPr>
      <w:r>
        <w:rPr>
          <w:sz w:val="24"/>
        </w:rPr>
        <w:t xml:space="preserve">а) группа горючести;</w:t>
      </w:r>
    </w:p>
    <w:p>
      <w:pPr>
        <w:pStyle w:val="0"/>
        <w:spacing w:before="240" w:line-rule="auto"/>
        <w:ind w:firstLine="540"/>
        <w:jc w:val="both"/>
      </w:pPr>
      <w:r>
        <w:rPr>
          <w:sz w:val="24"/>
        </w:rPr>
        <w:t xml:space="preserve">б) температура вспышки в открытом тигле;</w:t>
      </w:r>
    </w:p>
    <w:p>
      <w:pPr>
        <w:pStyle w:val="0"/>
        <w:spacing w:before="240" w:line-rule="auto"/>
        <w:ind w:firstLine="540"/>
        <w:jc w:val="both"/>
      </w:pPr>
      <w:r>
        <w:rPr>
          <w:sz w:val="24"/>
        </w:rPr>
        <w:t xml:space="preserve">в) температура вспышки в закрытом тигле или нижний температурный предел;</w:t>
      </w:r>
    </w:p>
    <w:p>
      <w:pPr>
        <w:pStyle w:val="0"/>
        <w:spacing w:before="240" w:line-rule="auto"/>
        <w:ind w:firstLine="540"/>
        <w:jc w:val="both"/>
      </w:pPr>
      <w:r>
        <w:rPr>
          <w:sz w:val="24"/>
        </w:rPr>
        <w:t xml:space="preserve">г) температура воспламенения;</w:t>
      </w:r>
    </w:p>
    <w:p>
      <w:pPr>
        <w:pStyle w:val="0"/>
        <w:spacing w:before="240" w:line-rule="auto"/>
        <w:ind w:firstLine="540"/>
        <w:jc w:val="both"/>
      </w:pPr>
      <w:r>
        <w:rPr>
          <w:sz w:val="24"/>
        </w:rPr>
        <w:t xml:space="preserve">д) температура самовоспламенения;</w:t>
      </w:r>
    </w:p>
    <w:p>
      <w:pPr>
        <w:pStyle w:val="0"/>
        <w:jc w:val="both"/>
      </w:pPr>
      <w:r>
        <w:rPr>
          <w:sz w:val="24"/>
        </w:rPr>
        <w:t xml:space="preserve">(п. 2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 для твердых веществ и материалов (за исключением строительных материалов):</w:t>
      </w:r>
    </w:p>
    <w:p>
      <w:pPr>
        <w:pStyle w:val="0"/>
        <w:spacing w:before="240" w:line-rule="auto"/>
        <w:ind w:firstLine="540"/>
        <w:jc w:val="both"/>
      </w:pPr>
      <w:r>
        <w:rPr>
          <w:sz w:val="24"/>
        </w:rPr>
        <w:t xml:space="preserve">а) группа горючести;</w:t>
      </w:r>
    </w:p>
    <w:p>
      <w:pPr>
        <w:pStyle w:val="0"/>
        <w:spacing w:before="240" w:line-rule="auto"/>
        <w:ind w:firstLine="540"/>
        <w:jc w:val="both"/>
      </w:pPr>
      <w:r>
        <w:rPr>
          <w:sz w:val="24"/>
        </w:rPr>
        <w:t xml:space="preserve">б) температура воспламенения;</w:t>
      </w:r>
    </w:p>
    <w:p>
      <w:pPr>
        <w:pStyle w:val="0"/>
        <w:spacing w:before="240" w:line-rule="auto"/>
        <w:ind w:firstLine="540"/>
        <w:jc w:val="both"/>
      </w:pPr>
      <w:r>
        <w:rPr>
          <w:sz w:val="24"/>
        </w:rPr>
        <w:t xml:space="preserve">в) температура самовоспламенения;</w:t>
      </w:r>
    </w:p>
    <w:p>
      <w:pPr>
        <w:pStyle w:val="0"/>
        <w:spacing w:before="240" w:line-rule="auto"/>
        <w:ind w:firstLine="540"/>
        <w:jc w:val="both"/>
      </w:pPr>
      <w:r>
        <w:rPr>
          <w:sz w:val="24"/>
        </w:rPr>
        <w:t xml:space="preserve">г) коэффициент дымообразования;</w:t>
      </w:r>
    </w:p>
    <w:p>
      <w:pPr>
        <w:pStyle w:val="0"/>
        <w:spacing w:before="240" w:line-rule="auto"/>
        <w:ind w:firstLine="540"/>
        <w:jc w:val="both"/>
      </w:pPr>
      <w:r>
        <w:rPr>
          <w:sz w:val="24"/>
        </w:rPr>
        <w:t xml:space="preserve">д) показатель токсичности продуктов горения;</w:t>
      </w:r>
    </w:p>
    <w:p>
      <w:pPr>
        <w:pStyle w:val="0"/>
        <w:spacing w:before="240" w:line-rule="auto"/>
        <w:ind w:firstLine="540"/>
        <w:jc w:val="both"/>
      </w:pPr>
      <w:r>
        <w:rPr>
          <w:sz w:val="24"/>
        </w:rPr>
        <w:t xml:space="preserve">4) для твердых дисперсных веществ:</w:t>
      </w:r>
    </w:p>
    <w:p>
      <w:pPr>
        <w:pStyle w:val="0"/>
        <w:spacing w:before="240" w:line-rule="auto"/>
        <w:ind w:firstLine="540"/>
        <w:jc w:val="both"/>
      </w:pPr>
      <w:r>
        <w:rPr>
          <w:sz w:val="24"/>
        </w:rPr>
        <w:t xml:space="preserve">а) группа горючести;</w:t>
      </w:r>
    </w:p>
    <w:p>
      <w:pPr>
        <w:pStyle w:val="0"/>
        <w:spacing w:before="240" w:line-rule="auto"/>
        <w:ind w:firstLine="540"/>
        <w:jc w:val="both"/>
      </w:pPr>
      <w:r>
        <w:rPr>
          <w:sz w:val="24"/>
        </w:rPr>
        <w:t xml:space="preserve">б) температура самовоспламенения;</w:t>
      </w:r>
    </w:p>
    <w:p>
      <w:pPr>
        <w:pStyle w:val="0"/>
        <w:spacing w:before="240" w:line-rule="auto"/>
        <w:ind w:firstLine="540"/>
        <w:jc w:val="both"/>
      </w:pPr>
      <w:r>
        <w:rPr>
          <w:sz w:val="24"/>
        </w:rPr>
        <w:t xml:space="preserve">в) максимальное давление взрыва;</w:t>
      </w:r>
    </w:p>
    <w:p>
      <w:pPr>
        <w:pStyle w:val="0"/>
        <w:spacing w:before="240" w:line-rule="auto"/>
        <w:ind w:firstLine="540"/>
        <w:jc w:val="both"/>
      </w:pPr>
      <w:r>
        <w:rPr>
          <w:sz w:val="24"/>
        </w:rPr>
        <w:t xml:space="preserve">г) скорость нарастания давления взрыва;</w:t>
      </w:r>
    </w:p>
    <w:p>
      <w:pPr>
        <w:pStyle w:val="0"/>
        <w:spacing w:before="240" w:line-rule="auto"/>
        <w:ind w:firstLine="540"/>
        <w:jc w:val="both"/>
      </w:pPr>
      <w:r>
        <w:rPr>
          <w:sz w:val="24"/>
        </w:rPr>
        <w:t xml:space="preserve">д) индекс взрывоопасности.</w:t>
      </w:r>
    </w:p>
    <w:p>
      <w:pPr>
        <w:pStyle w:val="0"/>
        <w:spacing w:before="240" w:line-rule="auto"/>
        <w:ind w:firstLine="540"/>
        <w:jc w:val="both"/>
      </w:pPr>
      <w:r>
        <w:rPr>
          <w:sz w:val="24"/>
        </w:rPr>
        <w:t xml:space="preserve">4. Необходимость включения дополнительной информации о показателях пожарной опасности определяет разработчик технической документации на вещества и материалы.</w:t>
      </w:r>
    </w:p>
    <w:p>
      <w:pPr>
        <w:pStyle w:val="0"/>
        <w:ind w:firstLine="540"/>
        <w:jc w:val="both"/>
      </w:pPr>
      <w:r>
        <w:rPr>
          <w:sz w:val="24"/>
        </w:rPr>
      </w:r>
    </w:p>
    <w:p>
      <w:pPr>
        <w:pStyle w:val="2"/>
        <w:outlineLvl w:val="3"/>
        <w:ind w:firstLine="540"/>
        <w:jc w:val="both"/>
      </w:pPr>
      <w:r>
        <w:rPr>
          <w:sz w:val="24"/>
        </w:rPr>
        <w:t xml:space="preserve">Статья 134. Требования пожарной безопасности к применению строительных материалов в зданиях и сооружениях</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1. Строительные материалы применяются в зданиях и сооружениях в зависимости от их функционального назначения и пожарной 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Требования пожарной безопасности к применению строительных материалов в зданиях и сооружениях устанавливаются применительно к показателям пожарной опасности этих материалов, приведенным в </w:t>
      </w:r>
      <w:hyperlink w:history="0" w:anchor="P3184" w:tooltip="Перечень показателей, необходимых для оценки">
        <w:r>
          <w:rPr>
            <w:sz w:val="24"/>
            <w:color w:val="0000ff"/>
          </w:rPr>
          <w:t xml:space="preserve">таблице 27</w:t>
        </w:r>
      </w:hyperlink>
      <w:r>
        <w:rPr>
          <w:sz w:val="24"/>
        </w:rPr>
        <w:t xml:space="preserve"> приложения к настоящему Федеральному закону.</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Техническая документация на строительные материалы должна содержать информацию о показателях пожарной опасности этих материалов, приведенных в </w:t>
      </w:r>
      <w:hyperlink w:history="0" w:anchor="P3184" w:tooltip="Перечень показателей, необходимых для оценки">
        <w:r>
          <w:rPr>
            <w:sz w:val="24"/>
            <w:color w:val="0000ff"/>
          </w:rPr>
          <w:t xml:space="preserve">таблице 27</w:t>
        </w:r>
      </w:hyperlink>
      <w:r>
        <w:rPr>
          <w:sz w:val="24"/>
        </w:rPr>
        <w:t xml:space="preserve"> приложения к настоящему Федеральному закону, а также о мерах пожарной безопасности при обращении с ними.</w:t>
      </w:r>
    </w:p>
    <w:p>
      <w:pPr>
        <w:pStyle w:val="0"/>
        <w:spacing w:before="240" w:line-rule="auto"/>
        <w:ind w:firstLine="540"/>
        <w:jc w:val="both"/>
      </w:pPr>
      <w:r>
        <w:rPr>
          <w:sz w:val="24"/>
        </w:rPr>
        <w:t xml:space="preserve">4. В помещениях зданий класса Ф5 категорий А, Б и В1, в которых производятся, применяются или хранятся легковоспламеняющиеся жидкости, не допускается применять материалы для покрытия полов с более высокими показателями пожарной опасности, чем В1, Д2, Т2, РП1.</w:t>
      </w:r>
    </w:p>
    <w:p>
      <w:pPr>
        <w:pStyle w:val="0"/>
        <w:jc w:val="both"/>
      </w:pPr>
      <w:r>
        <w:rPr>
          <w:sz w:val="24"/>
        </w:rPr>
        <w:t xml:space="preserve">(в ред. Федеральных законов от 29.07.2017 </w:t>
      </w:r>
      <w:r>
        <w:rPr>
          <w:sz w:val="24"/>
        </w:rPr>
        <w:t xml:space="preserve">N 244-ФЗ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5. Каркасы подвесных потолков в помещениях и на путях эвакуации следует выполнять из негорючих материалов. Окрашенные лакокрасочными покрытиями каркасы из негорючих материалов должны иметь группу горючести НГ или Г1.</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6. Область применения декоративно-отделочных, облицовочных материалов и покрытий полов на путях эвакуации и в зальных помещениях (за исключением покрытий полов спортивных арен спортивных сооружений и полов танцевальных залов) в зданиях различных функционального назначения, этажности и вместимости приведена в </w:t>
      </w:r>
      <w:hyperlink w:history="0" w:anchor="P3233" w:tooltip="Область применения декоративно-отделочных, облицовочных">
        <w:r>
          <w:rPr>
            <w:sz w:val="24"/>
            <w:color w:val="0000ff"/>
          </w:rPr>
          <w:t xml:space="preserve">таблицах 28</w:t>
        </w:r>
      </w:hyperlink>
      <w:r>
        <w:rPr>
          <w:sz w:val="24"/>
        </w:rPr>
        <w:t xml:space="preserve"> и </w:t>
      </w:r>
      <w:hyperlink w:history="0" w:anchor="P3272" w:tooltip="Область применения декоративно-отделочных, облицовочных">
        <w:r>
          <w:rPr>
            <w:sz w:val="24"/>
            <w:color w:val="0000ff"/>
          </w:rPr>
          <w:t xml:space="preserve">29</w:t>
        </w:r>
      </w:hyperlink>
      <w:r>
        <w:rPr>
          <w:sz w:val="24"/>
        </w:rPr>
        <w:t xml:space="preserve"> приложения к настоящему Федеральному закону. Показатели пожарной опасности декоративно-отделочных, облицовочных материалов и покрытий полов в зданиях V степени огнестойкости и зданиях класса конструктивной пожарной опасности С3 не регламентируются.</w:t>
      </w:r>
    </w:p>
    <w:p>
      <w:pPr>
        <w:pStyle w:val="0"/>
        <w:jc w:val="both"/>
      </w:pPr>
      <w:r>
        <w:rPr>
          <w:sz w:val="24"/>
        </w:rPr>
        <w:t xml:space="preserve">(в ред. Федеральных законов от 10.07.2012 </w:t>
      </w:r>
      <w:r>
        <w:rPr>
          <w:sz w:val="24"/>
        </w:rPr>
        <w:t xml:space="preserve">N 117-ФЗ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7. В спальных и палатных помещениях, а также в помещениях зданий дошкольных образовательных организаций класса функциональной пожарной опасности Ф1.1 не допускается применять декоративно-отделочные материалы с более высокими показателями пожарной опасности, чем Г1, В2, Д2, Т2, и покрытия полов с более высокими показателями пожарной опасности, чем В2, Д2, Т2, РП1.</w:t>
      </w:r>
    </w:p>
    <w:p>
      <w:pPr>
        <w:pStyle w:val="0"/>
        <w:jc w:val="both"/>
      </w:pPr>
      <w:r>
        <w:rPr>
          <w:sz w:val="24"/>
        </w:rPr>
        <w:t xml:space="preserve">(в ред. Федеральных законов от 02.07.2013 </w:t>
      </w:r>
      <w:r>
        <w:rPr>
          <w:sz w:val="24"/>
        </w:rPr>
        <w:t xml:space="preserve">N 185-ФЗ</w:t>
      </w:r>
      <w:r>
        <w:rPr>
          <w:sz w:val="24"/>
        </w:rPr>
        <w:t xml:space="preserve">, от 14.07.2022 </w:t>
      </w:r>
      <w:r>
        <w:rPr>
          <w:sz w:val="24"/>
        </w:rPr>
        <w:t xml:space="preserve">N 276-ФЗ</w:t>
      </w:r>
      <w:r>
        <w:rPr>
          <w:sz w:val="24"/>
        </w:rPr>
        <w:t xml:space="preserve">)</w:t>
      </w:r>
    </w:p>
    <w:p>
      <w:pPr>
        <w:pStyle w:val="0"/>
        <w:spacing w:before="240" w:line-rule="auto"/>
        <w:ind w:firstLine="540"/>
        <w:jc w:val="both"/>
      </w:pPr>
      <w:r>
        <w:rPr>
          <w:sz w:val="24"/>
        </w:rPr>
        <w:t xml:space="preserve">8. Для отделки стен и потолков залов детских дошкольных образовательных организаций, предусмотренных для проведения музыкальных и физкультурных занятий, не допускается применять материалы с более высокими показателями пожарной опасности, чем Г1, В1, Д2, Т2.</w:t>
      </w:r>
    </w:p>
    <w:p>
      <w:pPr>
        <w:pStyle w:val="0"/>
        <w:jc w:val="both"/>
      </w:pPr>
      <w:r>
        <w:rPr>
          <w:sz w:val="24"/>
        </w:rPr>
        <w:t xml:space="preserve">(часть 8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9 - 10. Утратили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11. В операционных и реанимационных помещениях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12. В жилых помещениях зданий класса функциональной пожарной опасности Ф1.2 не допускается применять материалы для отделки стен, потолков и заполнения подвесных потолков с более высокими показателями пожарной опасности, чем Г3, В2, Д3, Т3, и материалы для покрытия пола с более высокими показателями пожарной опасности, чем В2, Д3, Т3, РП2.</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13. В гардеробных помещениях зданий класса функциональной пожарной опасности Ф2.1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В1, Д2, Т2, и материалы для покрытия пола с более высокими показателями пожарной опасности, чем В2, Д2, Т2, РП1.</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14. В читальных залах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15. Для отделки стен и потолков помещений книгохранилищ и архивов, в том числе помещений, в которых содержатся служебные каталоги и описи, не допускается применять материалы с более высокими показателями пожарной опасности, чем Г1, В1, Д2, Т2.</w:t>
      </w:r>
    </w:p>
    <w:p>
      <w:pPr>
        <w:pStyle w:val="0"/>
        <w:jc w:val="both"/>
      </w:pPr>
      <w:r>
        <w:rPr>
          <w:sz w:val="24"/>
        </w:rPr>
        <w:t xml:space="preserve">(часть 15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16. В демонстрационных залах помещений зданий класса функциональной пожарной опасности Ф2.2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17. Утратил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18. В торговых залах зданий класса функциональной пожарной опасности Ф3.1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19. В залах ожидания зданий класса функциональной пожарной опасности Ф3.3 отделка стен, потолков, заполнение подвесных потолков и покрытие пола должны выполняться из негорючих материалов.</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20. Утратил силу. - Федеральный </w:t>
      </w:r>
      <w:r>
        <w:rPr>
          <w:sz w:val="24"/>
        </w:rPr>
        <w:t xml:space="preserve">закон</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135. Требования пожарной безопасности к применению текстильных и кожевенных материалов, к информации об их пожарной опасности</w:t>
      </w:r>
    </w:p>
    <w:p>
      <w:pPr>
        <w:pStyle w:val="0"/>
        <w:ind w:firstLine="540"/>
        <w:jc w:val="both"/>
      </w:pPr>
      <w:r>
        <w:rPr>
          <w:sz w:val="24"/>
        </w:rPr>
      </w:r>
    </w:p>
    <w:p>
      <w:pPr>
        <w:pStyle w:val="0"/>
        <w:ind w:firstLine="540"/>
        <w:jc w:val="both"/>
      </w:pPr>
      <w:r>
        <w:rPr>
          <w:sz w:val="24"/>
        </w:rPr>
        <w:t xml:space="preserve">1. Текстильные и кожевенные материалы применяются в зависимости от функционального назначения и пожарной опасности здания, сооружения или функционального назначения изделий, для изготовления которых используются данные материалы.</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10.07.2012 N 117-ФЗ.</w:t>
      </w:r>
    </w:p>
    <w:p>
      <w:pPr>
        <w:pStyle w:val="0"/>
        <w:spacing w:before="240" w:line-rule="auto"/>
        <w:ind w:firstLine="540"/>
        <w:jc w:val="both"/>
      </w:pPr>
      <w:r>
        <w:rPr>
          <w:sz w:val="24"/>
        </w:rPr>
        <w:t xml:space="preserve">3. </w:t>
      </w:r>
      <w:r>
        <w:rPr>
          <w:sz w:val="24"/>
        </w:rPr>
        <w:t xml:space="preserve">Методы</w:t>
      </w:r>
      <w:r>
        <w:rPr>
          <w:sz w:val="24"/>
        </w:rPr>
        <w:t xml:space="preserve"> определения классификационных признаков устойчивости материалов специальной защитной одежды к воздействию открытого пламени устанавливаются нормативными документами по пожарной безопасности.</w:t>
      </w:r>
    </w:p>
    <w:p>
      <w:pPr>
        <w:pStyle w:val="0"/>
        <w:spacing w:before="240" w:line-rule="auto"/>
        <w:ind w:firstLine="540"/>
        <w:jc w:val="both"/>
      </w:pPr>
      <w:r>
        <w:rPr>
          <w:sz w:val="24"/>
        </w:rPr>
        <w:t xml:space="preserve">4. В сопроводительных документах к текстильным и кожевенным материалам необходимо указывать информацию об их пожарной опасности и применении в зданиях и сооружениях или изделиях различного функционального назначения в соответствии с показателями, указанными в </w:t>
      </w:r>
      <w:hyperlink w:history="0" w:anchor="P3312" w:tooltip="Перечень показателей, необходимых для оценки">
        <w:r>
          <w:rPr>
            <w:sz w:val="24"/>
            <w:color w:val="0000ff"/>
          </w:rPr>
          <w:t xml:space="preserve">таблице 30</w:t>
        </w:r>
      </w:hyperlink>
      <w:r>
        <w:rPr>
          <w:sz w:val="24"/>
        </w:rPr>
        <w:t xml:space="preserve"> приложения к настоящему Федеральному закону.</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136. Утратила силу. - Федеральный </w:t>
      </w:r>
      <w:r>
        <w:rPr>
          <w:sz w:val="24"/>
        </w:rPr>
        <w:t xml:space="preserve">закон</w:t>
      </w:r>
      <w:r>
        <w:rPr>
          <w:sz w:val="24"/>
        </w:rPr>
        <w:t xml:space="preserve"> от 14.07.2022 N 276-ФЗ.</w:t>
      </w:r>
    </w:p>
    <w:p>
      <w:pPr>
        <w:pStyle w:val="0"/>
        <w:ind w:firstLine="540"/>
        <w:jc w:val="both"/>
      </w:pPr>
      <w:r>
        <w:rPr>
          <w:sz w:val="24"/>
        </w:rPr>
      </w:r>
    </w:p>
    <w:p>
      <w:pPr>
        <w:pStyle w:val="2"/>
        <w:outlineLvl w:val="2"/>
        <w:jc w:val="center"/>
      </w:pPr>
      <w:r>
        <w:rPr>
          <w:sz w:val="24"/>
        </w:rPr>
        <w:t xml:space="preserve">Глава 31. ТРЕБОВАНИЯ ПОЖАРНОЙ БЕЗОПАСНОСТИ</w:t>
      </w:r>
    </w:p>
    <w:p>
      <w:pPr>
        <w:pStyle w:val="2"/>
        <w:jc w:val="center"/>
      </w:pPr>
      <w:r>
        <w:rPr>
          <w:sz w:val="24"/>
        </w:rPr>
        <w:t xml:space="preserve">К СТРОИТЕЛЬНЫМ КОНСТРУКЦИЯМ И ИНЖЕНЕРНОМУ ОБОРУДОВАНИЮ</w:t>
      </w:r>
    </w:p>
    <w:p>
      <w:pPr>
        <w:pStyle w:val="2"/>
        <w:jc w:val="center"/>
      </w:pPr>
      <w:r>
        <w:rPr>
          <w:sz w:val="24"/>
        </w:rPr>
        <w:t xml:space="preserve">ЗДАНИЙ И СООРУЖЕНИЙ</w:t>
      </w:r>
    </w:p>
    <w:p>
      <w:pPr>
        <w:pStyle w:val="0"/>
        <w:jc w:val="center"/>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2"/>
        <w:outlineLvl w:val="3"/>
        <w:ind w:firstLine="540"/>
        <w:jc w:val="both"/>
      </w:pPr>
      <w:r>
        <w:rPr>
          <w:sz w:val="24"/>
        </w:rPr>
        <w:t xml:space="preserve">Статья 137. Требования пожарной безопасности к строительным конструкциям</w:t>
      </w:r>
    </w:p>
    <w:p>
      <w:pPr>
        <w:pStyle w:val="0"/>
        <w:ind w:firstLine="540"/>
        <w:jc w:val="both"/>
      </w:pPr>
      <w:r>
        <w:rPr>
          <w:sz w:val="24"/>
        </w:rPr>
      </w:r>
    </w:p>
    <w:p>
      <w:pPr>
        <w:pStyle w:val="0"/>
        <w:ind w:firstLine="540"/>
        <w:jc w:val="both"/>
      </w:pPr>
      <w:r>
        <w:rPr>
          <w:sz w:val="24"/>
        </w:rPr>
        <w:t xml:space="preserve">1. Конструктивное исполнение строительных элементов зданий, сооружений не должно являться причиной скрытого распространения горения по зданию, сооружению.</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Предел огнестойкости узлов крепления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w:t>
      </w:r>
    </w:p>
    <w:p>
      <w:pPr>
        <w:pStyle w:val="0"/>
        <w:spacing w:before="240" w:line-rule="auto"/>
        <w:ind w:firstLine="540"/>
        <w:jc w:val="both"/>
      </w:pPr>
      <w:r>
        <w:rPr>
          <w:sz w:val="24"/>
        </w:rPr>
        <w:t xml:space="preserve">3. Конструктивные элементы, образующие уклон пола в помещениях зданий, сооружений класса функциональной опасности Ф2, должны соответствовать требованиям, предъявляемым к междуэтажным перекрытиям этих зданий.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4. 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w:t>
      </w:r>
    </w:p>
    <w:p>
      <w:pPr>
        <w:pStyle w:val="0"/>
        <w:spacing w:before="240" w:line-rule="auto"/>
        <w:ind w:firstLine="540"/>
        <w:jc w:val="both"/>
      </w:pPr>
      <w:r>
        <w:rPr>
          <w:sz w:val="24"/>
        </w:rPr>
        <w:t xml:space="preserve">5. Противопожарные перегородки в помещениях с подвесными потолками должны разделять пространство над ними.</w:t>
      </w:r>
    </w:p>
    <w:p>
      <w:pPr>
        <w:pStyle w:val="0"/>
        <w:spacing w:before="240" w:line-rule="auto"/>
        <w:ind w:firstLine="540"/>
        <w:jc w:val="both"/>
      </w:pPr>
      <w:r>
        <w:rPr>
          <w:sz w:val="24"/>
        </w:rPr>
        <w:t xml:space="preserve">6. В пространстве над подвесными потолками не допускается предусматривать размещение каналов и трубопроводов для транспортирования горючих газов, пылевоздушных смесей, жидких и твердых материалов.</w:t>
      </w:r>
    </w:p>
    <w:p>
      <w:pPr>
        <w:pStyle w:val="0"/>
        <w:spacing w:before="240" w:line-rule="auto"/>
        <w:ind w:firstLine="540"/>
        <w:jc w:val="both"/>
      </w:pPr>
      <w:r>
        <w:rPr>
          <w:sz w:val="24"/>
        </w:rPr>
        <w:t xml:space="preserve">7. Подвесные потолки не допускается предусматривать в помещениях категорий А и Б по пожаровзрывоопасности и пожарной опасности.</w:t>
      </w:r>
    </w:p>
    <w:p>
      <w:pPr>
        <w:pStyle w:val="0"/>
        <w:ind w:firstLine="540"/>
        <w:jc w:val="both"/>
      </w:pPr>
      <w:r>
        <w:rPr>
          <w:sz w:val="24"/>
        </w:rPr>
      </w:r>
    </w:p>
    <w:p>
      <w:pPr>
        <w:pStyle w:val="2"/>
        <w:outlineLvl w:val="3"/>
        <w:ind w:firstLine="540"/>
        <w:jc w:val="both"/>
      </w:pPr>
      <w:r>
        <w:rPr>
          <w:sz w:val="24"/>
        </w:rPr>
        <w:t xml:space="preserve">Статья 138. Утратила силу. - Федеральный </w:t>
      </w:r>
      <w:r>
        <w:rPr>
          <w:sz w:val="24"/>
        </w:rPr>
        <w:t xml:space="preserve">закон</w:t>
      </w:r>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139. Требования пожарной безопасности к конструкциям и оборудованию систем мусороудаления</w:t>
      </w:r>
    </w:p>
    <w:p>
      <w:pPr>
        <w:pStyle w:val="0"/>
        <w:ind w:firstLine="540"/>
        <w:jc w:val="both"/>
      </w:pPr>
      <w:r>
        <w:rPr>
          <w:sz w:val="24"/>
        </w:rPr>
      </w:r>
    </w:p>
    <w:p>
      <w:pPr>
        <w:pStyle w:val="0"/>
        <w:ind w:firstLine="540"/>
        <w:jc w:val="both"/>
      </w:pPr>
      <w:r>
        <w:rPr>
          <w:sz w:val="24"/>
        </w:rPr>
        <w:t xml:space="preserve">1. Стволы систем мусороудаления должны изготавливаться из негорючих материалов и обеспечивать требуемые пределы огнестойкости и сопротивления дымогазопроницанию.</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Загрузочные клапаны стволов мусороудаления должны выполняться из негорючих материалов и обеспечивать минимально необходимые значения сопротивления дымогазопроницанию. Для уплотнения загрузочных клапанов допускается применение материалов группы горючести не ниже Г2.</w:t>
      </w:r>
    </w:p>
    <w:p>
      <w:pPr>
        <w:pStyle w:val="0"/>
        <w:spacing w:before="240" w:line-rule="auto"/>
        <w:ind w:firstLine="540"/>
        <w:jc w:val="both"/>
      </w:pPr>
      <w:r>
        <w:rPr>
          <w:sz w:val="24"/>
        </w:rPr>
        <w:t xml:space="preserve">3. Шиберы стволов мусороудаления, устанавливаемые в мусоросборных камерах,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 мусороудаления.</w:t>
      </w:r>
    </w:p>
    <w:p>
      <w:pPr>
        <w:pStyle w:val="0"/>
        <w:ind w:firstLine="540"/>
        <w:jc w:val="both"/>
      </w:pPr>
      <w:r>
        <w:rPr>
          <w:sz w:val="24"/>
        </w:rPr>
      </w:r>
    </w:p>
    <w:p>
      <w:pPr>
        <w:pStyle w:val="2"/>
        <w:outlineLvl w:val="3"/>
        <w:ind w:firstLine="540"/>
        <w:jc w:val="both"/>
      </w:pPr>
      <w:r>
        <w:rPr>
          <w:sz w:val="24"/>
        </w:rPr>
        <w:t xml:space="preserve">Статья 140. Требования пожарной безопасности к лифтам</w:t>
      </w:r>
    </w:p>
    <w:p>
      <w:pPr>
        <w:pStyle w:val="0"/>
        <w:ind w:firstLine="540"/>
        <w:jc w:val="both"/>
      </w:pPr>
      <w:r>
        <w:rPr>
          <w:sz w:val="24"/>
        </w:rPr>
      </w:r>
    </w:p>
    <w:p>
      <w:pPr>
        <w:pStyle w:val="0"/>
        <w:ind w:firstLine="540"/>
        <w:jc w:val="both"/>
      </w:pPr>
      <w:r>
        <w:rPr>
          <w:sz w:val="24"/>
        </w:rPr>
        <w:t xml:space="preserve">1. Утратил силу. - Федеральный </w:t>
      </w:r>
      <w:r>
        <w:rPr>
          <w:sz w:val="24"/>
        </w:rPr>
        <w:t xml:space="preserve">закон</w:t>
      </w:r>
      <w:r>
        <w:rPr>
          <w:sz w:val="24"/>
        </w:rPr>
        <w:t xml:space="preserve"> от 29.07.2017 N 244-ФЗ.</w:t>
      </w:r>
    </w:p>
    <w:p>
      <w:pPr>
        <w:pStyle w:val="0"/>
        <w:spacing w:before="240" w:line-rule="auto"/>
        <w:ind w:firstLine="540"/>
        <w:jc w:val="both"/>
      </w:pPr>
      <w:r>
        <w:rPr>
          <w:sz w:val="24"/>
        </w:rPr>
        <w:t xml:space="preserve">2. При выходе из лифтов в коридор, лифтовый холл или тамбур, не отвечающий требованиям, предъявляемым к тамбур-шлюзам 1-го типа, двери шахт лифтов должны иметь предел огнестойкости не ниже чем EI30 (в зданиях высотой не более 28 метров допускается применять двери шахт лифтов, имеющие предел огнестойкости E30). При выходе из лифтов в коридор, лифтовый холл или тамбур, отвечающий требованиям, предъявляемым к тамбур-шлюзам 1-го типа, и при выходе из лифтов на лестничную клетку предел огнестойкости дверей шахт лифтов не нормируется. Условия размещения лифтовых шахт в объемах лестничных клеток определяются нормативными документами по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3 - 4. Утратили силу. - Федеральный </w:t>
      </w:r>
      <w:r>
        <w:rPr>
          <w:sz w:val="24"/>
        </w:rPr>
        <w:t xml:space="preserve">закон</w:t>
      </w:r>
      <w:r>
        <w:rPr>
          <w:sz w:val="24"/>
        </w:rPr>
        <w:t xml:space="preserve"> от 29.07.2017 N 244-ФЗ.</w:t>
      </w:r>
    </w:p>
    <w:p>
      <w:pPr>
        <w:pStyle w:val="0"/>
        <w:ind w:firstLine="540"/>
        <w:jc w:val="both"/>
      </w:pPr>
      <w:r>
        <w:rPr>
          <w:sz w:val="24"/>
        </w:rPr>
      </w:r>
    </w:p>
    <w:p>
      <w:pPr>
        <w:pStyle w:val="2"/>
        <w:outlineLvl w:val="2"/>
        <w:jc w:val="center"/>
      </w:pPr>
      <w:r>
        <w:rPr>
          <w:sz w:val="24"/>
        </w:rPr>
        <w:t xml:space="preserve">Глава 32. ТРЕБОВАНИЯ ПОЖАРНОЙ БЕЗОПАСНОСТИ</w:t>
      </w:r>
    </w:p>
    <w:p>
      <w:pPr>
        <w:pStyle w:val="2"/>
        <w:jc w:val="center"/>
      </w:pPr>
      <w:r>
        <w:rPr>
          <w:sz w:val="24"/>
        </w:rPr>
        <w:t xml:space="preserve">К ЭЛЕКТРОТЕХНИЧЕСКОЙ ПРОДУКЦИИ</w:t>
      </w:r>
    </w:p>
    <w:p>
      <w:pPr>
        <w:pStyle w:val="2"/>
        <w:jc w:val="center"/>
      </w:pPr>
      <w:r>
        <w:rPr>
          <w:sz w:val="24"/>
        </w:rPr>
        <w:t xml:space="preserve">(СТАТЬИ 141 - 143)</w:t>
      </w:r>
    </w:p>
    <w:p>
      <w:pPr>
        <w:pStyle w:val="0"/>
        <w:ind w:firstLine="540"/>
        <w:jc w:val="both"/>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29.07.2017 N 244-ФЗ.</w:t>
      </w:r>
    </w:p>
    <w:p>
      <w:pPr>
        <w:pStyle w:val="0"/>
        <w:ind w:firstLine="540"/>
        <w:jc w:val="both"/>
      </w:pPr>
      <w:r>
        <w:rPr>
          <w:sz w:val="24"/>
        </w:rPr>
      </w:r>
    </w:p>
    <w:p>
      <w:pPr>
        <w:pStyle w:val="2"/>
        <w:outlineLvl w:val="1"/>
        <w:jc w:val="center"/>
      </w:pPr>
      <w:r>
        <w:rPr>
          <w:sz w:val="24"/>
        </w:rPr>
        <w:t xml:space="preserve">Раздел VII. ОЦЕНКА СООТВЕТСТВИЯ ОБЪЕКТОВ ЗАЩИТЫ (ПРОДУКЦИИ)</w:t>
      </w:r>
    </w:p>
    <w:p>
      <w:pPr>
        <w:pStyle w:val="2"/>
        <w:jc w:val="center"/>
      </w:pPr>
      <w:r>
        <w:rPr>
          <w:sz w:val="24"/>
        </w:rPr>
        <w:t xml:space="preserve">ТРЕБОВАНИЯМ ПОЖАРНОЙ БЕЗОПАСНОСТИ</w:t>
      </w:r>
    </w:p>
    <w:p>
      <w:pPr>
        <w:pStyle w:val="0"/>
        <w:jc w:val="center"/>
      </w:pPr>
      <w:r>
        <w:rPr>
          <w:sz w:val="24"/>
        </w:rPr>
      </w:r>
    </w:p>
    <w:p>
      <w:pPr>
        <w:pStyle w:val="2"/>
        <w:outlineLvl w:val="2"/>
        <w:jc w:val="center"/>
      </w:pPr>
      <w:r>
        <w:rPr>
          <w:sz w:val="24"/>
        </w:rPr>
        <w:t xml:space="preserve">Глава 33. ОЦЕНКА СООТВЕТСТВИЯ ОБЪЕКТОВ ЗАЩИТЫ (ПРОДУКЦИИ)</w:t>
      </w:r>
    </w:p>
    <w:p>
      <w:pPr>
        <w:pStyle w:val="2"/>
        <w:jc w:val="center"/>
      </w:pPr>
      <w:r>
        <w:rPr>
          <w:sz w:val="24"/>
        </w:rPr>
        <w:t xml:space="preserve">ТРЕБОВАНИЯМ ПОЖАРНОЙ БЕЗОПАСНОСТИ</w:t>
      </w:r>
    </w:p>
    <w:p>
      <w:pPr>
        <w:pStyle w:val="0"/>
        <w:ind w:firstLine="540"/>
        <w:jc w:val="both"/>
      </w:pPr>
      <w:r>
        <w:rPr>
          <w:sz w:val="24"/>
        </w:rPr>
      </w:r>
    </w:p>
    <w:p>
      <w:pPr>
        <w:pStyle w:val="2"/>
        <w:outlineLvl w:val="3"/>
        <w:ind w:firstLine="540"/>
        <w:jc w:val="both"/>
      </w:pPr>
      <w:r>
        <w:rPr>
          <w:sz w:val="24"/>
        </w:rPr>
        <w:t xml:space="preserve">Статья 144. Формы оценки соответствия объектов защиты (продукции) требованиям пожарной безопасности</w:t>
      </w:r>
    </w:p>
    <w:p>
      <w:pPr>
        <w:pStyle w:val="0"/>
        <w:ind w:firstLine="540"/>
        <w:jc w:val="both"/>
      </w:pPr>
      <w:r>
        <w:rPr>
          <w:sz w:val="24"/>
        </w:rPr>
      </w:r>
    </w:p>
    <w:p>
      <w:pPr>
        <w:pStyle w:val="0"/>
        <w:ind w:firstLine="540"/>
        <w:jc w:val="both"/>
      </w:pPr>
      <w:r>
        <w:rPr>
          <w:sz w:val="24"/>
        </w:rPr>
        <w:t xml:space="preserve">1. Оценка соответствия объектов защиты (продукции), организаций, осуществляющих подтверждение соответствия процессов проектирования, производства, строительства, монтажа, наладки, эксплуатации, хранения, перевозки, реализации и утилизации, требованиям пожарной безопасности, установленным техническими регламентами, принятыми в соответствии с Федеральным </w:t>
      </w:r>
      <w:r>
        <w:rPr>
          <w:sz w:val="24"/>
        </w:rPr>
        <w:t xml:space="preserve">законом</w:t>
      </w:r>
      <w:r>
        <w:rPr>
          <w:sz w:val="24"/>
        </w:rPr>
        <w:t xml:space="preserve"> "О техническом регулировании", нормативными документами по пожарной безопасности, и условиям договоров проводится в формах:</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 аккредитации;</w:t>
      </w:r>
    </w:p>
    <w:p>
      <w:pPr>
        <w:pStyle w:val="0"/>
        <w:spacing w:before="240" w:line-rule="auto"/>
        <w:ind w:firstLine="540"/>
        <w:jc w:val="both"/>
      </w:pPr>
      <w:r>
        <w:rPr>
          <w:sz w:val="24"/>
        </w:rPr>
        <w:t xml:space="preserve">2) независимой оценки пожарного риска (аудита пожарной безопасности);</w:t>
      </w:r>
    </w:p>
    <w:p>
      <w:pPr>
        <w:pStyle w:val="0"/>
        <w:spacing w:before="240" w:line-rule="auto"/>
        <w:ind w:firstLine="540"/>
        <w:jc w:val="both"/>
      </w:pPr>
      <w:r>
        <w:rPr>
          <w:sz w:val="24"/>
        </w:rPr>
        <w:t xml:space="preserve">3) федерального государственного пожарного надзора;</w:t>
      </w:r>
    </w:p>
    <w:p>
      <w:pPr>
        <w:pStyle w:val="0"/>
        <w:jc w:val="both"/>
      </w:pPr>
      <w:r>
        <w:rPr>
          <w:sz w:val="24"/>
        </w:rPr>
        <w:t xml:space="preserve">(п. 3 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4) декларирования пожарной безопасности;</w:t>
      </w:r>
    </w:p>
    <w:p>
      <w:pPr>
        <w:pStyle w:val="0"/>
        <w:spacing w:before="240" w:line-rule="auto"/>
        <w:ind w:firstLine="540"/>
        <w:jc w:val="both"/>
      </w:pPr>
      <w:r>
        <w:rPr>
          <w:sz w:val="24"/>
        </w:rPr>
        <w:t xml:space="preserve">5) исследований (испытаний);</w:t>
      </w:r>
    </w:p>
    <w:p>
      <w:pPr>
        <w:pStyle w:val="0"/>
        <w:spacing w:before="240" w:line-rule="auto"/>
        <w:ind w:firstLine="540"/>
        <w:jc w:val="both"/>
      </w:pPr>
      <w:r>
        <w:rPr>
          <w:sz w:val="24"/>
        </w:rPr>
        <w:t xml:space="preserve">6) подтверждения соответствия объектов защиты (продукции);</w:t>
      </w:r>
    </w:p>
    <w:p>
      <w:pPr>
        <w:pStyle w:val="0"/>
        <w:spacing w:before="240" w:line-rule="auto"/>
        <w:ind w:firstLine="540"/>
        <w:jc w:val="both"/>
      </w:pPr>
      <w:r>
        <w:rPr>
          <w:sz w:val="24"/>
        </w:rPr>
        <w:t xml:space="preserve">7) приемки и ввода в эксплуатацию объектов защиты (продукции), а также систем пожарной безопасности;</w:t>
      </w:r>
    </w:p>
    <w:p>
      <w:pPr>
        <w:pStyle w:val="0"/>
        <w:spacing w:before="240" w:line-rule="auto"/>
        <w:ind w:firstLine="540"/>
        <w:jc w:val="both"/>
      </w:pPr>
      <w:r>
        <w:rPr>
          <w:sz w:val="24"/>
        </w:rPr>
        <w:t xml:space="preserve">8) производственного контроля;</w:t>
      </w:r>
    </w:p>
    <w:p>
      <w:pPr>
        <w:pStyle w:val="0"/>
        <w:spacing w:before="240" w:line-rule="auto"/>
        <w:ind w:firstLine="540"/>
        <w:jc w:val="both"/>
      </w:pPr>
      <w:r>
        <w:rPr>
          <w:sz w:val="24"/>
        </w:rPr>
        <w:t xml:space="preserve">9) экспертизы.</w:t>
      </w:r>
    </w:p>
    <w:p>
      <w:pPr>
        <w:pStyle w:val="0"/>
        <w:spacing w:before="240" w:line-rule="auto"/>
        <w:ind w:firstLine="540"/>
        <w:jc w:val="both"/>
      </w:pPr>
      <w:r>
        <w:rPr>
          <w:sz w:val="24"/>
        </w:rPr>
        <w:t xml:space="preserve">2. </w:t>
      </w:r>
      <w:r>
        <w:rPr>
          <w:sz w:val="24"/>
        </w:rPr>
        <w:t xml:space="preserve">Порядок</w:t>
      </w:r>
      <w:r>
        <w:rPr>
          <w:sz w:val="24"/>
        </w:rPr>
        <w:t xml:space="preserve"> оценки соответствия объектов защиты (продукции) установленным требованиям пожарной безопасности путем независимой оценки пожарного риска устанавливается нормативными правовыми актами Российской Федерации.</w:t>
      </w:r>
    </w:p>
    <w:p>
      <w:pPr>
        <w:pStyle w:val="0"/>
        <w:ind w:firstLine="540"/>
        <w:jc w:val="both"/>
      </w:pPr>
      <w:r>
        <w:rPr>
          <w:sz w:val="24"/>
        </w:rPr>
      </w:r>
    </w:p>
    <w:p>
      <w:pPr>
        <w:pStyle w:val="2"/>
        <w:outlineLvl w:val="3"/>
        <w:ind w:firstLine="540"/>
        <w:jc w:val="both"/>
      </w:pPr>
      <w:r>
        <w:rPr>
          <w:sz w:val="24"/>
        </w:rPr>
        <w:t xml:space="preserve">Статья 145. Подтверждение соответствия объектов защиты (продукции) требованиям пожарной безопасности</w:t>
      </w:r>
    </w:p>
    <w:p>
      <w:pPr>
        <w:pStyle w:val="0"/>
        <w:ind w:firstLine="540"/>
        <w:jc w:val="both"/>
      </w:pPr>
      <w:r>
        <w:rPr>
          <w:sz w:val="24"/>
        </w:rPr>
      </w:r>
    </w:p>
    <w:p>
      <w:pPr>
        <w:pStyle w:val="0"/>
        <w:ind w:firstLine="540"/>
        <w:jc w:val="both"/>
      </w:pPr>
      <w:r>
        <w:rPr>
          <w:sz w:val="24"/>
        </w:rPr>
        <w:t xml:space="preserve">1. Подтверждение соответствия объектов защиты (продукции) требованиям пожарной безопасности на территории Российской Федерации осуществляется в добровольном или обязательном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Добровольное подтверждение соответствия объектов защиты (продукции) требованиям пожарной безопасности осуществляется в форме добровольной сертификации.</w:t>
      </w:r>
    </w:p>
    <w:p>
      <w:pPr>
        <w:pStyle w:val="0"/>
        <w:spacing w:before="240" w:line-rule="auto"/>
        <w:ind w:firstLine="540"/>
        <w:jc w:val="both"/>
      </w:pPr>
      <w:r>
        <w:rPr>
          <w:sz w:val="24"/>
        </w:rPr>
        <w:t xml:space="preserve">3. Обязательное подтверждение соответствия объектов защиты (продукции) требованиям настоящего Федерального закона осуществляется в форме декларирования соответствия или в форме обязательной сертификации.</w:t>
      </w:r>
    </w:p>
    <w:p>
      <w:pPr>
        <w:pStyle w:val="0"/>
        <w:spacing w:before="240" w:line-rule="auto"/>
        <w:ind w:firstLine="540"/>
        <w:jc w:val="both"/>
      </w:pPr>
      <w:r>
        <w:rPr>
          <w:sz w:val="24"/>
        </w:rPr>
        <w:t xml:space="preserve">4. Обязательному подтверждению соответствия требованиям пожарной безопасности подлежат объекты защиты (продукция) общего назначения и пожарная техника, требования пожарной безопасности к которым устанавливаются настоящим Федеральным законом и (или) техническими регламентами, принятыми в соответствии с Федеральным </w:t>
      </w:r>
      <w:r>
        <w:rPr>
          <w:sz w:val="24"/>
        </w:rPr>
        <w:t xml:space="preserve">законом</w:t>
      </w:r>
      <w:r>
        <w:rPr>
          <w:sz w:val="24"/>
        </w:rPr>
        <w:t xml:space="preserve"> "О техническом регулировании", содержащими требования к отдельным видам продукции.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5. Декларирование соответствия продукции требованиям настоящего Федерального закона может осуществляться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которые являются изготовителями (продавцами) продукции, либо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выполняющими по договору функции иностранного изготовителя (продавца) в части обеспечения соответствия поставляемой продукции требованиям настоящего Федерального закона, а также несущими ответственность за нарушение указанных требований.</w:t>
      </w:r>
    </w:p>
    <w:p>
      <w:pPr>
        <w:pStyle w:val="0"/>
        <w:spacing w:before="240" w:line-rule="auto"/>
        <w:ind w:firstLine="540"/>
        <w:jc w:val="both"/>
      </w:pPr>
      <w:r>
        <w:rPr>
          <w:sz w:val="24"/>
        </w:rPr>
        <w:t xml:space="preserve">6. Подтверждение соответствия объектов защиты (продукции) требованиям пожарной безопасности в форме декларирования с привлечением третьей стороны проводится только в организациях, аккредитованных на право проведения таких работ.</w:t>
      </w:r>
    </w:p>
    <w:p>
      <w:pPr>
        <w:pStyle w:val="0"/>
        <w:spacing w:before="240" w:line-rule="auto"/>
        <w:ind w:firstLine="540"/>
        <w:jc w:val="both"/>
      </w:pPr>
      <w:r>
        <w:rPr>
          <w:sz w:val="24"/>
        </w:rPr>
        <w:t xml:space="preserve">7. Продукция, соответствие требованиям пожарной безопасности которой подтверждено в установленном настоящим Федеральным законом порядке, маркируется </w:t>
      </w:r>
      <w:r>
        <w:rPr>
          <w:sz w:val="24"/>
        </w:rPr>
        <w:t xml:space="preserve">знаком</w:t>
      </w:r>
      <w:r>
        <w:rPr>
          <w:sz w:val="24"/>
        </w:rPr>
        <w:t xml:space="preserve"> обращения на рынке. Если к продукции предъявляются требования различных технических регламентов, то знак обращения на рынке проставляется только после подтверждения соответствия этой продукции требованиям соответствующих технических регламентов.</w:t>
      </w:r>
    </w:p>
    <w:p>
      <w:pPr>
        <w:pStyle w:val="0"/>
        <w:spacing w:before="240" w:line-rule="auto"/>
        <w:ind w:firstLine="540"/>
        <w:jc w:val="both"/>
      </w:pPr>
      <w:r>
        <w:rPr>
          <w:sz w:val="24"/>
        </w:rPr>
        <w:t xml:space="preserve">8. Знак обращения на рынке применяется изготовителями (продавцами) на основании сертификата соответствия или декларации соответствия. Знак обращения на рынке проставляется на продукции и (или) на ее упаковке (таре), а также в сопроводительной технической документации, поступающей к потребителю при реализации.</w:t>
      </w:r>
    </w:p>
    <w:p>
      <w:pPr>
        <w:pStyle w:val="0"/>
        <w:ind w:firstLine="540"/>
        <w:jc w:val="both"/>
      </w:pPr>
      <w:r>
        <w:rPr>
          <w:sz w:val="24"/>
        </w:rPr>
      </w:r>
    </w:p>
    <w:p>
      <w:pPr>
        <w:pStyle w:val="2"/>
        <w:outlineLvl w:val="3"/>
        <w:ind w:firstLine="540"/>
        <w:jc w:val="both"/>
      </w:pPr>
      <w:r>
        <w:rPr>
          <w:sz w:val="24"/>
        </w:rPr>
        <w:t xml:space="preserve">Статья 146. Схемы подтверждения соответствия продукции требованиям пожарной безопасности</w:t>
      </w:r>
    </w:p>
    <w:p>
      <w:pPr>
        <w:pStyle w:val="0"/>
        <w:ind w:firstLine="540"/>
        <w:jc w:val="both"/>
      </w:pPr>
      <w:r>
        <w:rPr>
          <w:sz w:val="24"/>
        </w:rPr>
      </w:r>
    </w:p>
    <w:p>
      <w:pPr>
        <w:pStyle w:val="0"/>
        <w:ind w:firstLine="540"/>
        <w:jc w:val="both"/>
      </w:pPr>
      <w:r>
        <w:rPr>
          <w:sz w:val="24"/>
        </w:rPr>
        <w:t xml:space="preserve">1. Подтверждение соответствия продукции требованиям пожарной безопасности осуществляется по схемам обязательного подтверждения соответствия требованиям пожарной безопасности (далее - схемы), каждая из которых представляет собой полный набор операций и условий их выполнения. Схемы могут включать одну или несколько операций, результаты которых необходимы для подтверждения соответствия продукции установленным требованиям.</w:t>
      </w:r>
    </w:p>
    <w:p>
      <w:pPr>
        <w:pStyle w:val="0"/>
        <w:spacing w:before="240" w:line-rule="auto"/>
        <w:ind w:firstLine="540"/>
        <w:jc w:val="both"/>
      </w:pPr>
      <w:r>
        <w:rPr>
          <w:sz w:val="24"/>
        </w:rPr>
        <w:t xml:space="preserve">2. Подтверждение соответствия продукции требованиям настоящего Федерального закона проводится по следующим схемам:</w:t>
      </w:r>
    </w:p>
    <w:p>
      <w:pPr>
        <w:pStyle w:val="0"/>
        <w:spacing w:before="240" w:line-rule="auto"/>
        <w:ind w:firstLine="540"/>
        <w:jc w:val="both"/>
      </w:pPr>
      <w:r>
        <w:rPr>
          <w:sz w:val="24"/>
        </w:rPr>
        <w:t xml:space="preserve">1) для серийно выпускаемой продукции:</w:t>
      </w:r>
    </w:p>
    <w:p>
      <w:pPr>
        <w:pStyle w:val="0"/>
        <w:spacing w:before="240" w:line-rule="auto"/>
        <w:ind w:firstLine="540"/>
        <w:jc w:val="both"/>
      </w:pPr>
      <w:r>
        <w:rPr>
          <w:sz w:val="24"/>
        </w:rPr>
        <w:t xml:space="preserve">а) декларация соответствия заявителя на основе собственных доказательств (схема 1д);</w:t>
      </w:r>
    </w:p>
    <w:p>
      <w:pPr>
        <w:pStyle w:val="0"/>
        <w:spacing w:before="240" w:line-rule="auto"/>
        <w:ind w:firstLine="540"/>
        <w:jc w:val="both"/>
      </w:pPr>
      <w:r>
        <w:rPr>
          <w:sz w:val="24"/>
        </w:rPr>
        <w:t xml:space="preserve">б) декларация соответствия изготовителя (продавца) на основе собственных доказательств и испытаний типового образца продукции в аккредитованной испытательной лаборатории (схема 2д);</w:t>
      </w:r>
    </w:p>
    <w:p>
      <w:pPr>
        <w:pStyle w:val="0"/>
        <w:spacing w:before="240" w:line-rule="auto"/>
        <w:ind w:firstLine="540"/>
        <w:jc w:val="both"/>
      </w:pPr>
      <w:r>
        <w:rPr>
          <w:sz w:val="24"/>
        </w:rPr>
        <w:t xml:space="preserve">в) декларация соответствия изготовителя (продавца) на основе собственных доказательств, испытаний типового образца продукции в аккредитованной испытательной лаборатории и сертификации системы качества применительно к производству продукции (схема 3д);</w:t>
      </w:r>
    </w:p>
    <w:p>
      <w:pPr>
        <w:pStyle w:val="0"/>
        <w:spacing w:before="240" w:line-rule="auto"/>
        <w:ind w:firstLine="540"/>
        <w:jc w:val="both"/>
      </w:pPr>
      <w:r>
        <w:rPr>
          <w:sz w:val="24"/>
        </w:rPr>
        <w:t xml:space="preserve">г)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2с);</w:t>
      </w:r>
    </w:p>
    <w:p>
      <w:pPr>
        <w:pStyle w:val="0"/>
        <w:spacing w:before="240" w:line-rule="auto"/>
        <w:ind w:firstLine="540"/>
        <w:jc w:val="both"/>
      </w:pPr>
      <w:r>
        <w:rPr>
          <w:sz w:val="24"/>
        </w:rPr>
        <w:t xml:space="preserve">д) сертификация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3с);</w:t>
      </w:r>
    </w:p>
    <w:p>
      <w:pPr>
        <w:pStyle w:val="0"/>
        <w:spacing w:before="240" w:line-rule="auto"/>
        <w:ind w:firstLine="540"/>
        <w:jc w:val="both"/>
      </w:pPr>
      <w:r>
        <w:rPr>
          <w:sz w:val="24"/>
        </w:rPr>
        <w:t xml:space="preserve">е)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 последующим инспекционным контролем (схема 4с);</w:t>
      </w:r>
    </w:p>
    <w:p>
      <w:pPr>
        <w:pStyle w:val="0"/>
        <w:spacing w:before="240" w:line-rule="auto"/>
        <w:ind w:firstLine="540"/>
        <w:jc w:val="both"/>
      </w:pPr>
      <w:r>
        <w:rPr>
          <w:sz w:val="24"/>
        </w:rPr>
        <w:t xml:space="preserve">ж) утратил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2) для ограниченной партии продукции:</w:t>
      </w:r>
    </w:p>
    <w:p>
      <w:pPr>
        <w:pStyle w:val="0"/>
        <w:spacing w:before="240" w:line-rule="auto"/>
        <w:ind w:firstLine="540"/>
        <w:jc w:val="both"/>
      </w:pPr>
      <w:r>
        <w:rPr>
          <w:sz w:val="24"/>
        </w:rPr>
        <w:t xml:space="preserve">а) декларация изготовителя (продавца) на основе собственных доказательств, испытаний в аккредитованной испытательной лаборатории представительной выборки образцов из партии продукции (схема 5д);</w:t>
      </w:r>
    </w:p>
    <w:p>
      <w:pPr>
        <w:pStyle w:val="0"/>
        <w:spacing w:before="240" w:line-rule="auto"/>
        <w:ind w:firstLine="540"/>
        <w:jc w:val="both"/>
      </w:pPr>
      <w:r>
        <w:rPr>
          <w:sz w:val="24"/>
        </w:rPr>
        <w:t xml:space="preserve">б) 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6с);</w:t>
      </w:r>
    </w:p>
    <w:p>
      <w:pPr>
        <w:pStyle w:val="0"/>
        <w:spacing w:before="240" w:line-rule="auto"/>
        <w:ind w:firstLine="540"/>
        <w:jc w:val="both"/>
      </w:pPr>
      <w:r>
        <w:rPr>
          <w:sz w:val="24"/>
        </w:rPr>
        <w:t xml:space="preserve">в) сертификация единиц продукции на основе испытаний единицы продукции в аккредитованной испытательной лаборатории (схема 7с).</w:t>
      </w:r>
    </w:p>
    <w:p>
      <w:pPr>
        <w:pStyle w:val="0"/>
        <w:spacing w:before="240" w:line-rule="auto"/>
        <w:ind w:firstLine="540"/>
        <w:jc w:val="both"/>
      </w:pPr>
      <w:r>
        <w:rPr>
          <w:sz w:val="24"/>
        </w:rPr>
        <w:t xml:space="preserve">3. Представительная выборка образцов для проведения испытаний в целях подтверждения соответствия продукции требованиям пожарной безопасности определяется в соответствии с законодательством Российской Федерации.</w:t>
      </w:r>
    </w:p>
    <w:p>
      <w:pPr>
        <w:pStyle w:val="0"/>
        <w:spacing w:before="240" w:line-rule="auto"/>
        <w:ind w:firstLine="540"/>
        <w:jc w:val="both"/>
      </w:pPr>
      <w:r>
        <w:rPr>
          <w:sz w:val="24"/>
        </w:rPr>
        <w:t xml:space="preserve">4. Схемы 1д и 5д применяются для подтверждения соответствия продукции требованиям пожарной безопасности веществ и материалов, за исключением:</w:t>
      </w:r>
    </w:p>
    <w:p>
      <w:pPr>
        <w:pStyle w:val="0"/>
        <w:spacing w:before="240" w:line-rule="auto"/>
        <w:ind w:firstLine="540"/>
        <w:jc w:val="both"/>
      </w:pPr>
      <w:r>
        <w:rPr>
          <w:sz w:val="24"/>
        </w:rPr>
        <w:t xml:space="preserve">1) строительных материалов;</w:t>
      </w:r>
    </w:p>
    <w:p>
      <w:pPr>
        <w:pStyle w:val="0"/>
        <w:spacing w:before="240" w:line-rule="auto"/>
        <w:ind w:firstLine="540"/>
        <w:jc w:val="both"/>
      </w:pPr>
      <w:r>
        <w:rPr>
          <w:sz w:val="24"/>
        </w:rPr>
        <w:t xml:space="preserve">2) отделочных материалов для подвижного состава железнодорожного транспорта и метрополитена;</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5. Схемы 2д, 3д и 5д применяются по выбору изготовителя (продавца) для подтверждения соответствия требованиям пожарной безопасности строительных материалов, не применяемых для отделки путей эвакуации людей непосредственно наружу или в безопасную зону.</w:t>
      </w:r>
    </w:p>
    <w:p>
      <w:pPr>
        <w:pStyle w:val="0"/>
        <w:jc w:val="both"/>
      </w:pPr>
      <w:r>
        <w:rPr>
          <w:sz w:val="24"/>
        </w:rPr>
        <w:t xml:space="preserve">(часть 5 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7. Схемы 2с, 3с, 4с и 6с применяются по выбору заявителя для подтверждения соответствия требованиям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1) - 9) утратили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10) строительных материалов, применяемых для отделки путей эвакуации людей непосредственно наружу или в безопасную зону;</w:t>
      </w:r>
    </w:p>
    <w:p>
      <w:pPr>
        <w:pStyle w:val="0"/>
        <w:spacing w:before="240" w:line-rule="auto"/>
        <w:ind w:firstLine="540"/>
        <w:jc w:val="both"/>
      </w:pPr>
      <w:r>
        <w:rPr>
          <w:sz w:val="24"/>
        </w:rPr>
        <w:t xml:space="preserve">11) отделочных материалов для подвижного состава железнодорожного транспорта и метрополитена;</w:t>
      </w:r>
    </w:p>
    <w:p>
      <w:pPr>
        <w:pStyle w:val="0"/>
        <w:spacing w:before="240" w:line-rule="auto"/>
        <w:ind w:firstLine="540"/>
        <w:jc w:val="both"/>
      </w:pPr>
      <w:r>
        <w:rPr>
          <w:sz w:val="24"/>
        </w:rPr>
        <w:t xml:space="preserve">12) - 15) утратили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16) кабельных изделий, к которым предъявляются требования пожарной безопасности:</w:t>
      </w:r>
    </w:p>
    <w:p>
      <w:pPr>
        <w:pStyle w:val="0"/>
        <w:spacing w:before="240" w:line-rule="auto"/>
        <w:ind w:firstLine="540"/>
        <w:jc w:val="both"/>
      </w:pPr>
      <w:r>
        <w:rPr>
          <w:sz w:val="24"/>
        </w:rPr>
        <w:t xml:space="preserve">а) кабелей и проводов, не распространяющих горение при одиночной и (или) групповой прокладках;</w:t>
      </w:r>
    </w:p>
    <w:p>
      <w:pPr>
        <w:pStyle w:val="0"/>
        <w:spacing w:before="240" w:line-rule="auto"/>
        <w:ind w:firstLine="540"/>
        <w:jc w:val="both"/>
      </w:pPr>
      <w:r>
        <w:rPr>
          <w:sz w:val="24"/>
        </w:rPr>
        <w:t xml:space="preserve">б) кабелей огнестойких;</w:t>
      </w:r>
    </w:p>
    <w:p>
      <w:pPr>
        <w:pStyle w:val="0"/>
        <w:spacing w:before="240" w:line-rule="auto"/>
        <w:ind w:firstLine="540"/>
        <w:jc w:val="both"/>
      </w:pPr>
      <w:r>
        <w:rPr>
          <w:sz w:val="24"/>
        </w:rPr>
        <w:t xml:space="preserve">в) кабелей с пониженным дымо- и газовыделением;</w:t>
      </w:r>
    </w:p>
    <w:p>
      <w:pPr>
        <w:pStyle w:val="0"/>
        <w:jc w:val="both"/>
      </w:pPr>
      <w:r>
        <w:rPr>
          <w:sz w:val="24"/>
        </w:rPr>
        <w:t xml:space="preserve">(п. 16 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17) - 18) утратили силу. - Федеральный </w:t>
      </w:r>
      <w:r>
        <w:rPr>
          <w:sz w:val="24"/>
        </w:rPr>
        <w:t xml:space="preserve">закон</w:t>
      </w:r>
      <w:r>
        <w:rPr>
          <w:sz w:val="24"/>
        </w:rPr>
        <w:t xml:space="preserve"> от 14.07.2022 N 276-ФЗ.</w:t>
      </w:r>
    </w:p>
    <w:p>
      <w:pPr>
        <w:pStyle w:val="0"/>
        <w:spacing w:before="240" w:line-rule="auto"/>
        <w:ind w:firstLine="540"/>
        <w:jc w:val="both"/>
      </w:pPr>
      <w:r>
        <w:rPr>
          <w:sz w:val="24"/>
        </w:rPr>
        <w:t xml:space="preserve">8. Схема 3с применяется только при проведении сертификации ранее сертифицированной продукции после завершения срока действия сертификата.</w:t>
      </w:r>
    </w:p>
    <w:p>
      <w:pPr>
        <w:pStyle w:val="0"/>
        <w:spacing w:before="240" w:line-rule="auto"/>
        <w:ind w:firstLine="540"/>
        <w:jc w:val="both"/>
      </w:pPr>
      <w:r>
        <w:rPr>
          <w:sz w:val="24"/>
        </w:rPr>
        <w:t xml:space="preserve">9. Схема 7с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w:t>
      </w:r>
    </w:p>
    <w:p>
      <w:pPr>
        <w:pStyle w:val="0"/>
        <w:spacing w:before="240" w:line-rule="auto"/>
        <w:ind w:firstLine="540"/>
        <w:jc w:val="both"/>
      </w:pPr>
      <w:r>
        <w:rPr>
          <w:sz w:val="24"/>
        </w:rPr>
        <w:t xml:space="preserve">10. По желанию заявителя подтверждение соответствия продукции требованиям пожарной безопасности путем декларирования может быть заменено обязательной сертификацией.</w:t>
      </w:r>
    </w:p>
    <w:p>
      <w:pPr>
        <w:pStyle w:val="0"/>
        <w:spacing w:before="240" w:line-rule="auto"/>
        <w:ind w:firstLine="540"/>
        <w:jc w:val="both"/>
      </w:pPr>
      <w:r>
        <w:rPr>
          <w:sz w:val="24"/>
        </w:rPr>
        <w:t xml:space="preserve">11. Действие декларации соответствия продукции требованиям пожарной безопасности устанавливается на срок не более 5 лет.</w:t>
      </w:r>
    </w:p>
    <w:p>
      <w:pPr>
        <w:pStyle w:val="0"/>
        <w:spacing w:before="240" w:line-rule="auto"/>
        <w:ind w:firstLine="540"/>
        <w:jc w:val="both"/>
      </w:pPr>
      <w:r>
        <w:rPr>
          <w:sz w:val="24"/>
        </w:rPr>
        <w:t xml:space="preserve">12. Декларирование соответствия продукции требованиям пожарной безопасности проводится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13. Если техническими регламентами, принятыми в соответствии с Федеральным </w:t>
      </w:r>
      <w:r>
        <w:rPr>
          <w:sz w:val="24"/>
        </w:rPr>
        <w:t xml:space="preserve">законом</w:t>
      </w:r>
      <w:r>
        <w:rPr>
          <w:sz w:val="24"/>
        </w:rPr>
        <w:t xml:space="preserve"> "О техническом регулировании", предусмотрены схемы сертификации для продукции, отличные от схем, установленных настоящим Федеральным законом, подтверждение соответствия продукции требованиям пожарной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w:t>
      </w:r>
    </w:p>
    <w:p>
      <w:pPr>
        <w:pStyle w:val="0"/>
        <w:jc w:val="both"/>
      </w:pPr>
      <w:r>
        <w:rPr>
          <w:sz w:val="24"/>
        </w:rPr>
        <w:t xml:space="preserve">(часть 13 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14. Подтверждение соответствия продукции требованиям пожарной безопасности строительных материалов, имеющих предельные (наиболее опасные) значения показателей пожарной опасности, может осуществляться по схеме 1д. Информация об этих показателях должна быть приведена в технической документации на данную продукцию.</w:t>
      </w:r>
    </w:p>
    <w:p>
      <w:pPr>
        <w:pStyle w:val="0"/>
        <w:jc w:val="both"/>
      </w:pPr>
      <w:r>
        <w:rPr>
          <w:sz w:val="24"/>
        </w:rPr>
        <w:t xml:space="preserve">(часть 14 введена Федеральным </w:t>
      </w:r>
      <w:r>
        <w:rPr>
          <w:sz w:val="24"/>
        </w:rPr>
        <w:t xml:space="preserve">законом</w:t>
      </w:r>
      <w:r>
        <w:rPr>
          <w:sz w:val="24"/>
        </w:rPr>
        <w:t xml:space="preserve"> от 29.07.2017 N 244-ФЗ)</w:t>
      </w:r>
    </w:p>
    <w:p>
      <w:pPr>
        <w:pStyle w:val="0"/>
        <w:ind w:firstLine="540"/>
        <w:jc w:val="both"/>
      </w:pPr>
      <w:r>
        <w:rPr>
          <w:sz w:val="24"/>
        </w:rPr>
      </w:r>
    </w:p>
    <w:p>
      <w:pPr>
        <w:pStyle w:val="2"/>
        <w:outlineLvl w:val="3"/>
        <w:ind w:firstLine="540"/>
        <w:jc w:val="both"/>
      </w:pPr>
      <w:r>
        <w:rPr>
          <w:sz w:val="24"/>
        </w:rPr>
        <w:t xml:space="preserve">Статья 147. Порядок проведения сертификации</w:t>
      </w:r>
    </w:p>
    <w:p>
      <w:pPr>
        <w:pStyle w:val="0"/>
        <w:ind w:firstLine="540"/>
        <w:jc w:val="both"/>
      </w:pPr>
      <w:r>
        <w:rPr>
          <w:sz w:val="24"/>
        </w:rPr>
      </w:r>
    </w:p>
    <w:p>
      <w:pPr>
        <w:pStyle w:val="0"/>
        <w:ind w:firstLine="540"/>
        <w:jc w:val="both"/>
      </w:pPr>
      <w:r>
        <w:rPr>
          <w:sz w:val="24"/>
        </w:rPr>
        <w:t xml:space="preserve">1. Сертификация продукции проводится органами, аккредитованными в соответствии с </w:t>
      </w:r>
      <w:r>
        <w:rPr>
          <w:sz w:val="24"/>
        </w:rPr>
        <w:t xml:space="preserve">законодательством</w:t>
      </w:r>
      <w:r>
        <w:rPr>
          <w:sz w:val="24"/>
        </w:rPr>
        <w:t xml:space="preserve"> Российской Федерации об аккредитации в национальной системе аккредитации и дополнительными требованиями, изложенными в </w:t>
      </w:r>
      <w:hyperlink w:history="0" w:anchor="P1944" w:tooltip="Статья 148. Дополнительные требования, учитываемые при аккредитации органов по сертификации, испытательных лабораторий (центров)">
        <w:r>
          <w:rPr>
            <w:sz w:val="24"/>
            <w:color w:val="0000ff"/>
          </w:rPr>
          <w:t xml:space="preserve">статье 148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23.06.2014 N 160-ФЗ)</w:t>
      </w:r>
    </w:p>
    <w:p>
      <w:pPr>
        <w:pStyle w:val="0"/>
        <w:spacing w:before="240" w:line-rule="auto"/>
        <w:ind w:firstLine="540"/>
        <w:jc w:val="both"/>
      </w:pPr>
      <w:r>
        <w:rPr>
          <w:sz w:val="24"/>
        </w:rPr>
        <w:t xml:space="preserve">2. Сертификация включает в себя:</w:t>
      </w:r>
    </w:p>
    <w:p>
      <w:pPr>
        <w:pStyle w:val="0"/>
        <w:spacing w:before="240" w:line-rule="auto"/>
        <w:ind w:firstLine="540"/>
        <w:jc w:val="both"/>
      </w:pPr>
      <w:r>
        <w:rPr>
          <w:sz w:val="24"/>
        </w:rPr>
        <w:t xml:space="preserve">1) подачу изготовителем (продавцом) заявки на проведение сертификации и рассмотрение представленных материалов аккредитованным органом по сертификации;</w:t>
      </w:r>
    </w:p>
    <w:p>
      <w:pPr>
        <w:pStyle w:val="0"/>
        <w:spacing w:before="240" w:line-rule="auto"/>
        <w:ind w:firstLine="540"/>
        <w:jc w:val="both"/>
      </w:pPr>
      <w:r>
        <w:rPr>
          <w:sz w:val="24"/>
        </w:rPr>
        <w:t xml:space="preserve">2) принятие аккредитованным органом по сертификации решения по заявке на проведение сертификации с указанием ее схемы;</w:t>
      </w:r>
    </w:p>
    <w:p>
      <w:pPr>
        <w:pStyle w:val="0"/>
        <w:spacing w:before="240" w:line-rule="auto"/>
        <w:ind w:firstLine="540"/>
        <w:jc w:val="both"/>
      </w:pPr>
      <w:r>
        <w:rPr>
          <w:sz w:val="24"/>
        </w:rPr>
        <w:t xml:space="preserve">3) оценку соответствия продукции требованиям пожарной безопасности;</w:t>
      </w:r>
    </w:p>
    <w:p>
      <w:pPr>
        <w:pStyle w:val="0"/>
        <w:spacing w:before="240" w:line-rule="auto"/>
        <w:ind w:firstLine="540"/>
        <w:jc w:val="both"/>
      </w:pPr>
      <w:r>
        <w:rPr>
          <w:sz w:val="24"/>
        </w:rPr>
        <w:t xml:space="preserve">4) выдачу аккредитованным органом по сертификации сертификата или мотивированный отказ в выдаче сертификата;</w:t>
      </w:r>
    </w:p>
    <w:p>
      <w:pPr>
        <w:pStyle w:val="0"/>
        <w:spacing w:before="240" w:line-rule="auto"/>
        <w:ind w:firstLine="540"/>
        <w:jc w:val="both"/>
      </w:pPr>
      <w:r>
        <w:rPr>
          <w:sz w:val="24"/>
        </w:rPr>
        <w:t xml:space="preserve">5) осуществление аккредитованным органом по сертификации инспекционного контроля сертифицированной продукции, если он предусмотрен схемой сертификации;</w:t>
      </w:r>
    </w:p>
    <w:p>
      <w:pPr>
        <w:pStyle w:val="0"/>
        <w:spacing w:before="240" w:line-rule="auto"/>
        <w:ind w:firstLine="540"/>
        <w:jc w:val="both"/>
      </w:pPr>
      <w:r>
        <w:rPr>
          <w:sz w:val="24"/>
        </w:rPr>
        <w:t xml:space="preserve">6) осуществление изготовителем (продавцом) корректирующих мероприятий при выявлении несоответствия продукции требованиям пожарной безопасности и при неправильном применении знака обращения на рынке.</w:t>
      </w:r>
    </w:p>
    <w:p>
      <w:pPr>
        <w:pStyle w:val="0"/>
        <w:spacing w:before="240" w:line-rule="auto"/>
        <w:ind w:firstLine="540"/>
        <w:jc w:val="both"/>
      </w:pPr>
      <w:r>
        <w:rPr>
          <w:sz w:val="24"/>
        </w:rPr>
        <w:t xml:space="preserve">3. Процедура подтверждения соответствия продукции требованиям настоящего Федерального закона включает в себя:</w:t>
      </w:r>
    </w:p>
    <w:p>
      <w:pPr>
        <w:pStyle w:val="0"/>
        <w:spacing w:before="240" w:line-rule="auto"/>
        <w:ind w:firstLine="540"/>
        <w:jc w:val="both"/>
      </w:pPr>
      <w:r>
        <w:rPr>
          <w:sz w:val="24"/>
        </w:rPr>
        <w:t xml:space="preserve">1) отбор и идентификацию образцов продукции;</w:t>
      </w:r>
    </w:p>
    <w:p>
      <w:pPr>
        <w:pStyle w:val="0"/>
        <w:spacing w:before="240" w:line-rule="auto"/>
        <w:ind w:firstLine="540"/>
        <w:jc w:val="both"/>
      </w:pPr>
      <w:r>
        <w:rPr>
          <w:sz w:val="24"/>
        </w:rPr>
        <w:t xml:space="preserve">2) оценку производства, если это предусмотрено схемой сертификации;</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 проведение испытаний образцов продукции в аккредитованной испытательной лаборатории;</w:t>
      </w:r>
    </w:p>
    <w:p>
      <w:pPr>
        <w:pStyle w:val="0"/>
        <w:spacing w:before="240" w:line-rule="auto"/>
        <w:ind w:firstLine="540"/>
        <w:jc w:val="both"/>
      </w:pPr>
      <w:r>
        <w:rPr>
          <w:sz w:val="24"/>
        </w:rPr>
        <w:t xml:space="preserve">4) экспертизу документов, представленных изготовителем (продавцом) (в том числе технической документации, документов о качестве, заключений, сертификатов и протоколов испытаний), в целях определения возможности признания соответствия продукции требованиям пожарной безопасности;</w:t>
      </w:r>
    </w:p>
    <w:p>
      <w:pPr>
        <w:pStyle w:val="0"/>
        <w:spacing w:before="240" w:line-rule="auto"/>
        <w:ind w:firstLine="540"/>
        <w:jc w:val="both"/>
      </w:pPr>
      <w:r>
        <w:rPr>
          <w:sz w:val="24"/>
        </w:rPr>
        <w:t xml:space="preserve">5) анализ полученных результатов и принятие решения о возможности выдачи сертификата.</w:t>
      </w:r>
    </w:p>
    <w:p>
      <w:pPr>
        <w:pStyle w:val="0"/>
        <w:spacing w:before="240" w:line-rule="auto"/>
        <w:ind w:firstLine="540"/>
        <w:jc w:val="both"/>
      </w:pPr>
      <w:r>
        <w:rPr>
          <w:sz w:val="24"/>
        </w:rPr>
        <w:t xml:space="preserve">4. Заявитель может обратиться с заявкой на проведение сертификации в любой аккредитованный орган по сертификации, имеющий право проведения таких работ.</w:t>
      </w:r>
    </w:p>
    <w:p>
      <w:pPr>
        <w:pStyle w:val="0"/>
        <w:spacing w:before="240" w:line-rule="auto"/>
        <w:ind w:firstLine="540"/>
        <w:jc w:val="both"/>
      </w:pPr>
      <w:r>
        <w:rPr>
          <w:sz w:val="24"/>
        </w:rPr>
        <w:t xml:space="preserve">5. Заявка на проведение сертификации оформляется заявителем на русском языке и должна содержать:</w:t>
      </w:r>
    </w:p>
    <w:p>
      <w:pPr>
        <w:pStyle w:val="0"/>
        <w:spacing w:before="240" w:line-rule="auto"/>
        <w:ind w:firstLine="540"/>
        <w:jc w:val="both"/>
      </w:pPr>
      <w:r>
        <w:rPr>
          <w:sz w:val="24"/>
        </w:rPr>
        <w:t xml:space="preserve">1) наименование и местонахождение заявителя;</w:t>
      </w:r>
    </w:p>
    <w:p>
      <w:pPr>
        <w:pStyle w:val="0"/>
        <w:spacing w:before="240" w:line-rule="auto"/>
        <w:ind w:firstLine="540"/>
        <w:jc w:val="both"/>
      </w:pPr>
      <w:r>
        <w:rPr>
          <w:sz w:val="24"/>
        </w:rPr>
        <w:t xml:space="preserve">2) наименование и местонахождение изготовителя (продавца);</w:t>
      </w:r>
    </w:p>
    <w:p>
      <w:pPr>
        <w:pStyle w:val="0"/>
        <w:spacing w:before="240" w:line-rule="auto"/>
        <w:ind w:firstLine="540"/>
        <w:jc w:val="both"/>
      </w:pPr>
      <w:r>
        <w:rPr>
          <w:sz w:val="24"/>
        </w:rPr>
        <w:t xml:space="preserve">3) сведения о продукции и идентифицирующие ее признаки (наименование, код по общероссийскому </w:t>
      </w:r>
      <w:r>
        <w:rPr>
          <w:sz w:val="24"/>
        </w:rPr>
        <w:t xml:space="preserve">классификатору</w:t>
      </w:r>
      <w:r>
        <w:rPr>
          <w:sz w:val="24"/>
        </w:rPr>
        <w:t xml:space="preserve"> продукции или код импортной продукции в соответствии с Товарной </w:t>
      </w:r>
      <w:r>
        <w:rPr>
          <w:sz w:val="24"/>
        </w:rPr>
        <w:t xml:space="preserve">номенклатурой</w:t>
      </w:r>
      <w:r>
        <w:rPr>
          <w:sz w:val="24"/>
        </w:rPr>
        <w:t xml:space="preserve"> внешнеэкономической деятельности, применяемой в Российской Федерации), техническое описание продукции, инструкцию по ее применению (эксплуатации) и другую техническую документацию, описывающую продукцию, а также декларируемое количество (серийное производство, партия или единица продукции);</w:t>
      </w:r>
    </w:p>
    <w:p>
      <w:pPr>
        <w:pStyle w:val="0"/>
        <w:spacing w:before="240" w:line-rule="auto"/>
        <w:ind w:firstLine="540"/>
        <w:jc w:val="both"/>
      </w:pPr>
      <w:r>
        <w:rPr>
          <w:sz w:val="24"/>
        </w:rPr>
        <w:t xml:space="preserve">4) указание на нормативные документы по пожарной безопасности;</w:t>
      </w:r>
    </w:p>
    <w:p>
      <w:pPr>
        <w:pStyle w:val="0"/>
        <w:spacing w:before="240" w:line-rule="auto"/>
        <w:ind w:firstLine="540"/>
        <w:jc w:val="both"/>
      </w:pPr>
      <w:r>
        <w:rPr>
          <w:sz w:val="24"/>
        </w:rPr>
        <w:t xml:space="preserve">5) схему сертификации;</w:t>
      </w:r>
    </w:p>
    <w:p>
      <w:pPr>
        <w:pStyle w:val="0"/>
        <w:spacing w:before="240" w:line-rule="auto"/>
        <w:ind w:firstLine="540"/>
        <w:jc w:val="both"/>
      </w:pPr>
      <w:r>
        <w:rPr>
          <w:sz w:val="24"/>
        </w:rPr>
        <w:t xml:space="preserve">6) обязательства заявителя о выполнении правил и условий сертификации.</w:t>
      </w:r>
    </w:p>
    <w:p>
      <w:pPr>
        <w:pStyle w:val="0"/>
        <w:spacing w:before="240" w:line-rule="auto"/>
        <w:ind w:firstLine="540"/>
        <w:jc w:val="both"/>
      </w:pPr>
      <w:r>
        <w:rPr>
          <w:sz w:val="24"/>
        </w:rPr>
        <w:t xml:space="preserve">6. Аккредитованный орган, осуществляющий сертификацию, в течение 30 суток со дня подачи заявки на проведение сертификации направляет заявителю положительное или отрицательное решение по его заявке.</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7. Отрицательное решение по заявке на проведение сертификации должно содержать мотивированный отказ в проведении сертификации.</w:t>
      </w:r>
    </w:p>
    <w:p>
      <w:pPr>
        <w:pStyle w:val="0"/>
        <w:spacing w:before="240" w:line-rule="auto"/>
        <w:ind w:firstLine="540"/>
        <w:jc w:val="both"/>
      </w:pPr>
      <w:r>
        <w:rPr>
          <w:sz w:val="24"/>
        </w:rPr>
        <w:t xml:space="preserve">8. Положительное решение по заявке на проведение сертификации должно включать в себя основные условия сертификации, в том числе информацию:</w:t>
      </w:r>
    </w:p>
    <w:p>
      <w:pPr>
        <w:pStyle w:val="0"/>
        <w:spacing w:before="240" w:line-rule="auto"/>
        <w:ind w:firstLine="540"/>
        <w:jc w:val="both"/>
      </w:pPr>
      <w:r>
        <w:rPr>
          <w:sz w:val="24"/>
        </w:rPr>
        <w:t xml:space="preserve">1) о схеме сертификации;</w:t>
      </w:r>
    </w:p>
    <w:p>
      <w:pPr>
        <w:pStyle w:val="0"/>
        <w:spacing w:before="240" w:line-rule="auto"/>
        <w:ind w:firstLine="540"/>
        <w:jc w:val="both"/>
      </w:pPr>
      <w:r>
        <w:rPr>
          <w:sz w:val="24"/>
        </w:rPr>
        <w:t xml:space="preserve">2) о нормативных документах, на основании которых будет проводиться сертификация соответствия продукции требованиям пожарной безопасности;</w:t>
      </w:r>
    </w:p>
    <w:p>
      <w:pPr>
        <w:pStyle w:val="0"/>
        <w:spacing w:before="240" w:line-rule="auto"/>
        <w:ind w:firstLine="540"/>
        <w:jc w:val="both"/>
      </w:pPr>
      <w:r>
        <w:rPr>
          <w:sz w:val="24"/>
        </w:rPr>
        <w:t xml:space="preserve">3) об организации, которая будет проводить анализ состояния производства, если это предусмотрено схемой сертификации;</w:t>
      </w:r>
    </w:p>
    <w:p>
      <w:pPr>
        <w:pStyle w:val="0"/>
        <w:spacing w:before="240" w:line-rule="auto"/>
        <w:ind w:firstLine="540"/>
        <w:jc w:val="both"/>
      </w:pPr>
      <w:r>
        <w:rPr>
          <w:sz w:val="24"/>
        </w:rPr>
        <w:t xml:space="preserve">4) о порядке отбора образцов продукции;</w:t>
      </w:r>
    </w:p>
    <w:p>
      <w:pPr>
        <w:pStyle w:val="0"/>
        <w:spacing w:before="240" w:line-rule="auto"/>
        <w:ind w:firstLine="540"/>
        <w:jc w:val="both"/>
      </w:pPr>
      <w:r>
        <w:rPr>
          <w:sz w:val="24"/>
        </w:rPr>
        <w:t xml:space="preserve">5) о порядке проведения испытаний образцов продукции;</w:t>
      </w:r>
    </w:p>
    <w:p>
      <w:pPr>
        <w:pStyle w:val="0"/>
        <w:spacing w:before="240" w:line-rule="auto"/>
        <w:ind w:firstLine="540"/>
        <w:jc w:val="both"/>
      </w:pPr>
      <w:r>
        <w:rPr>
          <w:sz w:val="24"/>
        </w:rPr>
        <w:t xml:space="preserve">6) о порядке оценки стабильности условий производства;</w:t>
      </w:r>
    </w:p>
    <w:p>
      <w:pPr>
        <w:pStyle w:val="0"/>
        <w:spacing w:before="240" w:line-rule="auto"/>
        <w:ind w:firstLine="540"/>
        <w:jc w:val="both"/>
      </w:pPr>
      <w:r>
        <w:rPr>
          <w:sz w:val="24"/>
        </w:rPr>
        <w:t xml:space="preserve">7) о критериях оценки соответствия продукции требованиям пожарной безопасности;</w:t>
      </w:r>
    </w:p>
    <w:p>
      <w:pPr>
        <w:pStyle w:val="0"/>
        <w:spacing w:before="240" w:line-rule="auto"/>
        <w:ind w:firstLine="540"/>
        <w:jc w:val="both"/>
      </w:pPr>
      <w:r>
        <w:rPr>
          <w:sz w:val="24"/>
        </w:rPr>
        <w:t xml:space="preserve">8) о необходимости предоставления дополнительных документов, подтверждающих безопасность продукции.</w:t>
      </w:r>
    </w:p>
    <w:p>
      <w:pPr>
        <w:pStyle w:val="0"/>
        <w:spacing w:before="240" w:line-rule="auto"/>
        <w:ind w:firstLine="540"/>
        <w:jc w:val="both"/>
      </w:pPr>
      <w:r>
        <w:rPr>
          <w:sz w:val="24"/>
        </w:rPr>
        <w:t xml:space="preserve">9. Подтверждение соответствия продукции требованиям настоящего Федерального закона включает в себя, если это предусмотрено схемой сертификации:</w:t>
      </w:r>
    </w:p>
    <w:p>
      <w:pPr>
        <w:pStyle w:val="0"/>
        <w:spacing w:before="240" w:line-rule="auto"/>
        <w:ind w:firstLine="540"/>
        <w:jc w:val="both"/>
      </w:pPr>
      <w:r>
        <w:rPr>
          <w:sz w:val="24"/>
        </w:rPr>
        <w:t xml:space="preserve">1) отбор контрольных образцов и образцов для испытаний;</w:t>
      </w:r>
    </w:p>
    <w:p>
      <w:pPr>
        <w:pStyle w:val="0"/>
        <w:spacing w:before="240" w:line-rule="auto"/>
        <w:ind w:firstLine="540"/>
        <w:jc w:val="both"/>
      </w:pPr>
      <w:r>
        <w:rPr>
          <w:sz w:val="24"/>
        </w:rPr>
        <w:t xml:space="preserve">2) идентификацию продукции;</w:t>
      </w:r>
    </w:p>
    <w:p>
      <w:pPr>
        <w:pStyle w:val="0"/>
        <w:spacing w:before="240" w:line-rule="auto"/>
        <w:ind w:firstLine="540"/>
        <w:jc w:val="both"/>
      </w:pPr>
      <w:r>
        <w:rPr>
          <w:sz w:val="24"/>
        </w:rPr>
        <w:t xml:space="preserve">3) испытания образцов продукции в аккредитованной испытательной лаборатории;</w:t>
      </w:r>
    </w:p>
    <w:p>
      <w:pPr>
        <w:pStyle w:val="0"/>
        <w:spacing w:before="240" w:line-rule="auto"/>
        <w:ind w:firstLine="540"/>
        <w:jc w:val="both"/>
      </w:pPr>
      <w:r>
        <w:rPr>
          <w:sz w:val="24"/>
        </w:rPr>
        <w:t xml:space="preserve">4) оценку стабильности условий производства;</w:t>
      </w:r>
    </w:p>
    <w:p>
      <w:pPr>
        <w:pStyle w:val="0"/>
        <w:spacing w:before="240" w:line-rule="auto"/>
        <w:ind w:firstLine="540"/>
        <w:jc w:val="both"/>
      </w:pPr>
      <w:r>
        <w:rPr>
          <w:sz w:val="24"/>
        </w:rPr>
        <w:t xml:space="preserve">5) анализ представленных документов.</w:t>
      </w:r>
    </w:p>
    <w:p>
      <w:pPr>
        <w:pStyle w:val="0"/>
        <w:spacing w:before="240" w:line-rule="auto"/>
        <w:ind w:firstLine="540"/>
        <w:jc w:val="both"/>
      </w:pPr>
      <w:r>
        <w:rPr>
          <w:sz w:val="24"/>
        </w:rPr>
        <w:t xml:space="preserve">10. Отбор образцов продукции (контрольных образцов и образцов для испытаний) проводится в соответствии с требованиями, установленными законодательством Российской Федерации.</w:t>
      </w:r>
    </w:p>
    <w:p>
      <w:pPr>
        <w:pStyle w:val="0"/>
        <w:spacing w:before="240" w:line-rule="auto"/>
        <w:ind w:firstLine="540"/>
        <w:jc w:val="both"/>
      </w:pPr>
      <w:r>
        <w:rPr>
          <w:sz w:val="24"/>
        </w:rPr>
        <w:t xml:space="preserve">11. Допускается в качестве контрольных образцов использовать образцы продукции, подвергшиеся сертификационным испытаниям, если их идентификационные признаки и показатели, проверяемые при сертификации, остались неизменными.</w:t>
      </w:r>
    </w:p>
    <w:p>
      <w:pPr>
        <w:pStyle w:val="0"/>
        <w:spacing w:before="240" w:line-rule="auto"/>
        <w:ind w:firstLine="540"/>
        <w:jc w:val="both"/>
      </w:pPr>
      <w:r>
        <w:rPr>
          <w:sz w:val="24"/>
        </w:rPr>
        <w:t xml:space="preserve">12. Образцы продукции, отобранные для испытаний и в качестве контрольных, должны быть по конструкции, составу и технологии изготовления идентичны продукции, поставляемой потребителю (заказчику).</w:t>
      </w:r>
    </w:p>
    <w:p>
      <w:pPr>
        <w:pStyle w:val="0"/>
        <w:spacing w:before="240" w:line-rule="auto"/>
        <w:ind w:firstLine="540"/>
        <w:jc w:val="both"/>
      </w:pPr>
      <w:r>
        <w:rPr>
          <w:sz w:val="24"/>
        </w:rPr>
        <w:t xml:space="preserve">13. Заявитель (изготовитель, продавец) прилагает к образцам документы, подтверждающие приемку продукции изготовителем (продавцом) и ее соответствие нормативным документам, по которым выпускается продукция (или их копии), а также необходимые технические документы, состав и содержание которых приведены в решении аккредитованного органа по сертификации по заявке на проведение сертификации.</w:t>
      </w:r>
    </w:p>
    <w:p>
      <w:pPr>
        <w:pStyle w:val="0"/>
        <w:spacing w:before="240" w:line-rule="auto"/>
        <w:ind w:firstLine="540"/>
        <w:jc w:val="both"/>
      </w:pPr>
      <w:r>
        <w:rPr>
          <w:sz w:val="24"/>
        </w:rPr>
        <w:t xml:space="preserve">14. После отбора образцов должны быть приняты меры защиты от подмены образцов или ошибок в их идентификации.</w:t>
      </w:r>
    </w:p>
    <w:p>
      <w:pPr>
        <w:pStyle w:val="0"/>
        <w:spacing w:before="240" w:line-rule="auto"/>
        <w:ind w:firstLine="540"/>
        <w:jc w:val="both"/>
      </w:pPr>
      <w:r>
        <w:rPr>
          <w:sz w:val="24"/>
        </w:rPr>
        <w:t xml:space="preserve">15. Контрольные образцы подлежат хранению в течение срока действия сертификата.</w:t>
      </w:r>
    </w:p>
    <w:p>
      <w:pPr>
        <w:pStyle w:val="0"/>
        <w:spacing w:before="240" w:line-rule="auto"/>
        <w:ind w:firstLine="540"/>
        <w:jc w:val="both"/>
      </w:pPr>
      <w:r>
        <w:rPr>
          <w:sz w:val="24"/>
        </w:rPr>
        <w:t xml:space="preserve">16. Идентификацию проводят как при отборе образцов, так и при испытании продукции с целью удостоверения, что представленные образцы действительно относятся к сертифицируемой продукции.</w:t>
      </w:r>
    </w:p>
    <w:p>
      <w:pPr>
        <w:pStyle w:val="0"/>
        <w:spacing w:before="240" w:line-rule="auto"/>
        <w:ind w:firstLine="540"/>
        <w:jc w:val="both"/>
      </w:pPr>
      <w:r>
        <w:rPr>
          <w:sz w:val="24"/>
        </w:rPr>
        <w:t xml:space="preserve">17. Идентификация состоит в сравнении основных характеристик образцов продукции, указанных в заявке на проведение сертификации продукции и технической (сопроводительной) документации на нее, и маркированных характеристик на образце, упаковке (таре) и в сопроводительных документах.</w:t>
      </w:r>
    </w:p>
    <w:p>
      <w:pPr>
        <w:pStyle w:val="0"/>
        <w:spacing w:before="240" w:line-rule="auto"/>
        <w:ind w:firstLine="540"/>
        <w:jc w:val="both"/>
      </w:pPr>
      <w:r>
        <w:rPr>
          <w:sz w:val="24"/>
        </w:rPr>
        <w:t xml:space="preserve">18. При сертификации партии продукции дополнительно проверяется соответствие ее фактического объема заявляемому объему.</w:t>
      </w:r>
    </w:p>
    <w:p>
      <w:pPr>
        <w:pStyle w:val="0"/>
        <w:spacing w:before="240" w:line-rule="auto"/>
        <w:ind w:firstLine="540"/>
        <w:jc w:val="both"/>
      </w:pPr>
      <w:r>
        <w:rPr>
          <w:sz w:val="24"/>
        </w:rPr>
        <w:t xml:space="preserve">19. Результаты идентификации при проведении испытаний отражаются в протоколе испытаний (отчете об испытаниях).</w:t>
      </w:r>
    </w:p>
    <w:p>
      <w:pPr>
        <w:pStyle w:val="0"/>
        <w:spacing w:before="240" w:line-rule="auto"/>
        <w:ind w:firstLine="540"/>
        <w:jc w:val="both"/>
      </w:pPr>
      <w:r>
        <w:rPr>
          <w:sz w:val="24"/>
        </w:rPr>
        <w:t xml:space="preserve">20. Испытания в целях сертификации проводятся по заказу аккредитованного органа по сертификации.</w:t>
      </w:r>
    </w:p>
    <w:p>
      <w:pPr>
        <w:pStyle w:val="0"/>
        <w:spacing w:before="240" w:line-rule="auto"/>
        <w:ind w:firstLine="540"/>
        <w:jc w:val="both"/>
      </w:pPr>
      <w:r>
        <w:rPr>
          <w:sz w:val="24"/>
        </w:rPr>
        <w:t xml:space="preserve">21. Испытания проводятся испытательными лабораториями, прошедшими аккредитацию на право проведения работ.</w:t>
      </w:r>
    </w:p>
    <w:p>
      <w:pPr>
        <w:pStyle w:val="0"/>
        <w:spacing w:before="240" w:line-rule="auto"/>
        <w:ind w:firstLine="540"/>
        <w:jc w:val="both"/>
      </w:pPr>
      <w:r>
        <w:rPr>
          <w:sz w:val="24"/>
        </w:rPr>
        <w:t xml:space="preserve">22. В случае отсутствия испытательной лаборатории, аккредитованной на техническую компетентность и независимость, или значительной ее удаленности, усложняющей транспортирование образцов, увеличивающей стоимость испытаний и удлиняющей сроки их проведения, допускается проведение испытаний в целях сертификации испытательными лабораториями, аккредитованными только на техническую компетентность, независимыми от изготовителя или потребителя сертифицируемой продукции. Такие испытания проводятся под контролем представителей аккредитованного органа по сертификации. Объективность таких испытаний наряду с испытательной лабораторией обеспечивает аккредитованный орган по сертификации, поручивший испытательной лаборатории их проведение.</w:t>
      </w:r>
    </w:p>
    <w:p>
      <w:pPr>
        <w:pStyle w:val="0"/>
        <w:spacing w:before="240" w:line-rule="auto"/>
        <w:ind w:firstLine="540"/>
        <w:jc w:val="both"/>
      </w:pPr>
      <w:r>
        <w:rPr>
          <w:sz w:val="24"/>
        </w:rPr>
        <w:t xml:space="preserve">23. По результатам испытаний испытательные лаборатории оформляют протоколы испытаний и передают их в аккредитованный орган по сертификации. Копии протоколов испытаний подлежат хранению в испытательной лаборатории в течение срока службы (годности) сертифицированной продукции, но не менее 3 лет после окончания срока действия выданных на их основании сертификатов или решений об отказе в выдаче сертификатов.</w:t>
      </w:r>
    </w:p>
    <w:p>
      <w:pPr>
        <w:pStyle w:val="0"/>
        <w:spacing w:before="240" w:line-rule="auto"/>
        <w:ind w:firstLine="540"/>
        <w:jc w:val="both"/>
      </w:pPr>
      <w:r>
        <w:rPr>
          <w:sz w:val="24"/>
        </w:rPr>
        <w:t xml:space="preserve">24. Протокол испытаний (отчет об испытаниях) должен содержать следующую информацию:</w:t>
      </w:r>
    </w:p>
    <w:p>
      <w:pPr>
        <w:pStyle w:val="0"/>
        <w:spacing w:before="240" w:line-rule="auto"/>
        <w:ind w:firstLine="540"/>
        <w:jc w:val="both"/>
      </w:pPr>
      <w:r>
        <w:rPr>
          <w:sz w:val="24"/>
        </w:rPr>
        <w:t xml:space="preserve">1) обозначение протокола испытаний (отчета об испытаниях), порядковый номер и нумерацию каждой страницы протокола, а также общее количество страниц;</w:t>
      </w:r>
    </w:p>
    <w:p>
      <w:pPr>
        <w:pStyle w:val="0"/>
        <w:spacing w:before="240" w:line-rule="auto"/>
        <w:ind w:firstLine="540"/>
        <w:jc w:val="both"/>
      </w:pPr>
      <w:r>
        <w:rPr>
          <w:sz w:val="24"/>
        </w:rPr>
        <w:t xml:space="preserve">2) сведения об испытательной лаборатории, проводившей испытания;</w:t>
      </w:r>
    </w:p>
    <w:p>
      <w:pPr>
        <w:pStyle w:val="0"/>
        <w:spacing w:before="240" w:line-rule="auto"/>
        <w:ind w:firstLine="540"/>
        <w:jc w:val="both"/>
      </w:pPr>
      <w:r>
        <w:rPr>
          <w:sz w:val="24"/>
        </w:rPr>
        <w:t xml:space="preserve">3) сведения об аккредитованном органе по сертификации, поручившем проведение испытаний;</w:t>
      </w:r>
    </w:p>
    <w:p>
      <w:pPr>
        <w:pStyle w:val="0"/>
        <w:spacing w:before="240" w:line-rule="auto"/>
        <w:ind w:firstLine="540"/>
        <w:jc w:val="both"/>
      </w:pPr>
      <w:r>
        <w:rPr>
          <w:sz w:val="24"/>
        </w:rPr>
        <w:t xml:space="preserve">4) идентификационные сведения о представленной на испытания продукции, в том числе об изготовителе продукции;</w:t>
      </w:r>
    </w:p>
    <w:p>
      <w:pPr>
        <w:pStyle w:val="0"/>
        <w:spacing w:before="240" w:line-rule="auto"/>
        <w:ind w:firstLine="540"/>
        <w:jc w:val="both"/>
      </w:pPr>
      <w:r>
        <w:rPr>
          <w:sz w:val="24"/>
        </w:rPr>
        <w:t xml:space="preserve">5) основание для проведения испытаний;</w:t>
      </w:r>
    </w:p>
    <w:p>
      <w:pPr>
        <w:pStyle w:val="0"/>
        <w:spacing w:before="240" w:line-rule="auto"/>
        <w:ind w:firstLine="540"/>
        <w:jc w:val="both"/>
      </w:pPr>
      <w:r>
        <w:rPr>
          <w:sz w:val="24"/>
        </w:rPr>
        <w:t xml:space="preserve">6) описание программы и методов испытаний или ссылки на стандартные методы испытаний;</w:t>
      </w:r>
    </w:p>
    <w:p>
      <w:pPr>
        <w:pStyle w:val="0"/>
        <w:spacing w:before="240" w:line-rule="auto"/>
        <w:ind w:firstLine="540"/>
        <w:jc w:val="both"/>
      </w:pPr>
      <w:r>
        <w:rPr>
          <w:sz w:val="24"/>
        </w:rPr>
        <w:t xml:space="preserve">7) сведения об отборе образцов;</w:t>
      </w:r>
    </w:p>
    <w:p>
      <w:pPr>
        <w:pStyle w:val="0"/>
        <w:spacing w:before="240" w:line-rule="auto"/>
        <w:ind w:firstLine="540"/>
        <w:jc w:val="both"/>
      </w:pPr>
      <w:r>
        <w:rPr>
          <w:sz w:val="24"/>
        </w:rPr>
        <w:t xml:space="preserve">8) условия проведения испытаний;</w:t>
      </w:r>
    </w:p>
    <w:p>
      <w:pPr>
        <w:pStyle w:val="0"/>
        <w:spacing w:before="240" w:line-rule="auto"/>
        <w:ind w:firstLine="540"/>
        <w:jc w:val="both"/>
      </w:pPr>
      <w:r>
        <w:rPr>
          <w:sz w:val="24"/>
        </w:rPr>
        <w:t xml:space="preserve">9) сведения об использованных средствах измерений и испытательном оборудовании;</w:t>
      </w:r>
    </w:p>
    <w:p>
      <w:pPr>
        <w:pStyle w:val="0"/>
        <w:spacing w:before="240" w:line-rule="auto"/>
        <w:ind w:firstLine="540"/>
        <w:jc w:val="both"/>
      </w:pPr>
      <w:r>
        <w:rPr>
          <w:sz w:val="24"/>
        </w:rPr>
        <w:t xml:space="preserve">10) проверяемые показатели и требования к ним, сведения о нормативных документах, содержащих эти требования;</w:t>
      </w:r>
    </w:p>
    <w:p>
      <w:pPr>
        <w:pStyle w:val="0"/>
        <w:spacing w:before="240" w:line-rule="auto"/>
        <w:ind w:firstLine="540"/>
        <w:jc w:val="both"/>
      </w:pPr>
      <w:r>
        <w:rPr>
          <w:sz w:val="24"/>
        </w:rPr>
        <w:t xml:space="preserve">11) фактические значения показателей испытанных образцов, в том числе промежуточные, в соответствии с необходимыми критериями оценки и с указанием расчетной или фактической погрешности измерений;</w:t>
      </w:r>
    </w:p>
    <w:p>
      <w:pPr>
        <w:pStyle w:val="0"/>
        <w:spacing w:before="240" w:line-rule="auto"/>
        <w:ind w:firstLine="540"/>
        <w:jc w:val="both"/>
      </w:pPr>
      <w:r>
        <w:rPr>
          <w:sz w:val="24"/>
        </w:rPr>
        <w:t xml:space="preserve">12) сведения об испытаниях, выполненных другой испытательной лабораторией;</w:t>
      </w:r>
    </w:p>
    <w:p>
      <w:pPr>
        <w:pStyle w:val="0"/>
        <w:spacing w:before="240" w:line-rule="auto"/>
        <w:ind w:firstLine="540"/>
        <w:jc w:val="both"/>
      </w:pPr>
      <w:r>
        <w:rPr>
          <w:sz w:val="24"/>
        </w:rPr>
        <w:t xml:space="preserve">13) дату выпуска протокола испытаний (отчета об испытаниях).</w:t>
      </w:r>
    </w:p>
    <w:p>
      <w:pPr>
        <w:pStyle w:val="0"/>
        <w:spacing w:before="240" w:line-rule="auto"/>
        <w:ind w:firstLine="540"/>
        <w:jc w:val="both"/>
      </w:pPr>
      <w:r>
        <w:rPr>
          <w:sz w:val="24"/>
        </w:rPr>
        <w:t xml:space="preserve">25. Протокол испытаний (отчет об испытаниях) должен быть подписан всеми лицами, ответственными за их проведение, утвержден руководителем (заместителем руководителя) аккредитованной испытательной лаборатории (центра) и скреплен печатью аккредитованной испытательной лаборатории (центра). К протоколу испытаний (отчету об испытаниях) прилагается акт отбора образцов со всеми приложениями к нему.</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26. Протокол испытаний (отчет об испытаниях) должен включать необходимый объем информации, позволяющей получить аналогичные результаты в случае проведения повторных испытаний. Если результатом какого-либо испытания является качественная оценка соответствия продукции установленному требованию, в протоколе испытаний (отчете об испытаниях) приводится информация, на основании которой получен результат.</w:t>
      </w:r>
    </w:p>
    <w:p>
      <w:pPr>
        <w:pStyle w:val="0"/>
        <w:spacing w:before="240" w:line-rule="auto"/>
        <w:ind w:firstLine="540"/>
        <w:jc w:val="both"/>
      </w:pPr>
      <w:r>
        <w:rPr>
          <w:sz w:val="24"/>
        </w:rPr>
        <w:t xml:space="preserve">27. Не допускаются исправления и изменения в тексте протокола испытаний (отчета об испытаниях) после его выпуска.</w:t>
      </w:r>
    </w:p>
    <w:p>
      <w:pPr>
        <w:pStyle w:val="0"/>
        <w:spacing w:before="240" w:line-rule="auto"/>
        <w:ind w:firstLine="540"/>
        <w:jc w:val="both"/>
      </w:pPr>
      <w:r>
        <w:rPr>
          <w:sz w:val="24"/>
        </w:rPr>
        <w:t xml:space="preserve">28. Не допускается размещение в протоколе испытаний (отчете об испытаниях) общих оценок, рекомендаций и советов по устранению недостатков или совершенствованию испытанных изделий.</w:t>
      </w:r>
    </w:p>
    <w:p>
      <w:pPr>
        <w:pStyle w:val="0"/>
        <w:spacing w:before="240" w:line-rule="auto"/>
        <w:ind w:firstLine="540"/>
        <w:jc w:val="both"/>
      </w:pPr>
      <w:r>
        <w:rPr>
          <w:sz w:val="24"/>
        </w:rPr>
        <w:t xml:space="preserve">29. Протокол испытаний (отчет об испытаниях) распространяется только на образцы, подвергнутые испытаниям.</w:t>
      </w:r>
    </w:p>
    <w:p>
      <w:pPr>
        <w:pStyle w:val="0"/>
        <w:spacing w:before="240" w:line-rule="auto"/>
        <w:ind w:firstLine="540"/>
        <w:jc w:val="both"/>
      </w:pPr>
      <w:r>
        <w:rPr>
          <w:sz w:val="24"/>
        </w:rPr>
        <w:t xml:space="preserve">30. Анализ производства проводится с целью установления необходимых условий для изготовления продукции со стабильными характеристиками, проверяемыми при сертификации.</w:t>
      </w:r>
    </w:p>
    <w:p>
      <w:pPr>
        <w:pStyle w:val="0"/>
        <w:spacing w:before="240" w:line-rule="auto"/>
        <w:ind w:firstLine="540"/>
        <w:jc w:val="both"/>
      </w:pPr>
      <w:r>
        <w:rPr>
          <w:sz w:val="24"/>
        </w:rPr>
        <w:t xml:space="preserve">31. Оценка стабильности условий производства должна выполняться не ранее чем за 12 месяцев до дня выдачи сертификата на основе анализа состояния производства (схемы 2с и 4с).</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32. Основанием для проведения анализа состояния производства является решение аккредитованного органа по сертификации. Аккредитованный орган по сертификации может поручить проведение проверки состояния производства организации, имеющей в своем штате экспертов по сертификации данной продукции или экспертов по сертификации производства. В этом случае оформляется обоснованное письменное поручение аккредитованного органа по сертификации.</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33. При проведении анализа состояния производства должны проверяться:</w:t>
      </w:r>
    </w:p>
    <w:p>
      <w:pPr>
        <w:pStyle w:val="0"/>
        <w:spacing w:before="240" w:line-rule="auto"/>
        <w:ind w:firstLine="540"/>
        <w:jc w:val="both"/>
      </w:pPr>
      <w:r>
        <w:rPr>
          <w:sz w:val="24"/>
        </w:rPr>
        <w:t xml:space="preserve">1) технологические процессы;</w:t>
      </w:r>
    </w:p>
    <w:p>
      <w:pPr>
        <w:pStyle w:val="0"/>
        <w:spacing w:before="240" w:line-rule="auto"/>
        <w:ind w:firstLine="540"/>
        <w:jc w:val="both"/>
      </w:pPr>
      <w:r>
        <w:rPr>
          <w:sz w:val="24"/>
        </w:rPr>
        <w:t xml:space="preserve">2) технологическая документация;</w:t>
      </w:r>
    </w:p>
    <w:p>
      <w:pPr>
        <w:pStyle w:val="0"/>
        <w:spacing w:before="240" w:line-rule="auto"/>
        <w:ind w:firstLine="540"/>
        <w:jc w:val="both"/>
      </w:pPr>
      <w:r>
        <w:rPr>
          <w:sz w:val="24"/>
        </w:rPr>
        <w:t xml:space="preserve">3) средства технологического оснащения;</w:t>
      </w:r>
    </w:p>
    <w:p>
      <w:pPr>
        <w:pStyle w:val="0"/>
        <w:spacing w:before="240" w:line-rule="auto"/>
        <w:ind w:firstLine="540"/>
        <w:jc w:val="both"/>
      </w:pPr>
      <w:r>
        <w:rPr>
          <w:sz w:val="24"/>
        </w:rPr>
        <w:t xml:space="preserve">4) технологические режимы;</w:t>
      </w:r>
    </w:p>
    <w:p>
      <w:pPr>
        <w:pStyle w:val="0"/>
        <w:spacing w:before="240" w:line-rule="auto"/>
        <w:ind w:firstLine="540"/>
        <w:jc w:val="both"/>
      </w:pPr>
      <w:r>
        <w:rPr>
          <w:sz w:val="24"/>
        </w:rPr>
        <w:t xml:space="preserve">5) управление средствами технологического оснащения;</w:t>
      </w:r>
    </w:p>
    <w:p>
      <w:pPr>
        <w:pStyle w:val="0"/>
        <w:spacing w:before="240" w:line-rule="auto"/>
        <w:ind w:firstLine="540"/>
        <w:jc w:val="both"/>
      </w:pPr>
      <w:r>
        <w:rPr>
          <w:sz w:val="24"/>
        </w:rPr>
        <w:t xml:space="preserve">6) управление метрологическим оборудованием;</w:t>
      </w:r>
    </w:p>
    <w:p>
      <w:pPr>
        <w:pStyle w:val="0"/>
        <w:spacing w:before="240" w:line-rule="auto"/>
        <w:ind w:firstLine="540"/>
        <w:jc w:val="both"/>
      </w:pPr>
      <w:r>
        <w:rPr>
          <w:sz w:val="24"/>
        </w:rPr>
        <w:t xml:space="preserve">7) методики испытаний и измерений;</w:t>
      </w:r>
    </w:p>
    <w:p>
      <w:pPr>
        <w:pStyle w:val="0"/>
        <w:spacing w:before="240" w:line-rule="auto"/>
        <w:ind w:firstLine="540"/>
        <w:jc w:val="both"/>
      </w:pPr>
      <w:r>
        <w:rPr>
          <w:sz w:val="24"/>
        </w:rPr>
        <w:t xml:space="preserve">8) порядок проведения контроля сырья и комплектующих изделий;</w:t>
      </w:r>
    </w:p>
    <w:p>
      <w:pPr>
        <w:pStyle w:val="0"/>
        <w:spacing w:before="240" w:line-rule="auto"/>
        <w:ind w:firstLine="540"/>
        <w:jc w:val="both"/>
      </w:pPr>
      <w:r>
        <w:rPr>
          <w:sz w:val="24"/>
        </w:rPr>
        <w:t xml:space="preserve">9) порядок проведения контроля продукции в процессе ее производства;</w:t>
      </w:r>
    </w:p>
    <w:p>
      <w:pPr>
        <w:pStyle w:val="0"/>
        <w:spacing w:before="240" w:line-rule="auto"/>
        <w:ind w:firstLine="540"/>
        <w:jc w:val="both"/>
      </w:pPr>
      <w:r>
        <w:rPr>
          <w:sz w:val="24"/>
        </w:rPr>
        <w:t xml:space="preserve">10) управление несоответствующей продукцией;</w:t>
      </w:r>
    </w:p>
    <w:p>
      <w:pPr>
        <w:pStyle w:val="0"/>
        <w:spacing w:before="240" w:line-rule="auto"/>
        <w:ind w:firstLine="540"/>
        <w:jc w:val="both"/>
      </w:pPr>
      <w:r>
        <w:rPr>
          <w:sz w:val="24"/>
        </w:rPr>
        <w:t xml:space="preserve">11) порядок работы с рекламациями.</w:t>
      </w:r>
    </w:p>
    <w:p>
      <w:pPr>
        <w:pStyle w:val="0"/>
        <w:spacing w:before="240" w:line-rule="auto"/>
        <w:ind w:firstLine="540"/>
        <w:jc w:val="both"/>
      </w:pPr>
      <w:r>
        <w:rPr>
          <w:sz w:val="24"/>
        </w:rPr>
        <w:t xml:space="preserve">34. Недостатки, выявленные в процессе проверки, классифицируются как существенные или несущественные несоответствия.</w:t>
      </w:r>
    </w:p>
    <w:p>
      <w:pPr>
        <w:pStyle w:val="0"/>
        <w:spacing w:before="240" w:line-rule="auto"/>
        <w:ind w:firstLine="540"/>
        <w:jc w:val="both"/>
      </w:pPr>
      <w:r>
        <w:rPr>
          <w:sz w:val="24"/>
        </w:rPr>
        <w:t xml:space="preserve">35. К существенным несоответствиям относятся:</w:t>
      </w:r>
    </w:p>
    <w:p>
      <w:pPr>
        <w:pStyle w:val="0"/>
        <w:spacing w:before="240" w:line-rule="auto"/>
        <w:ind w:firstLine="540"/>
        <w:jc w:val="both"/>
      </w:pPr>
      <w:r>
        <w:rPr>
          <w:sz w:val="24"/>
        </w:rPr>
        <w:t xml:space="preserve">1) отсутствие нормативной и технологической документации на продукцию;</w:t>
      </w:r>
    </w:p>
    <w:p>
      <w:pPr>
        <w:pStyle w:val="0"/>
        <w:spacing w:before="240" w:line-rule="auto"/>
        <w:ind w:firstLine="540"/>
        <w:jc w:val="both"/>
      </w:pPr>
      <w:r>
        <w:rPr>
          <w:sz w:val="24"/>
        </w:rPr>
        <w:t xml:space="preserve">2) отсутствие описания выполняемых операций с указанием средств технологического оснащения, точек и порядка контроля;</w:t>
      </w:r>
    </w:p>
    <w:p>
      <w:pPr>
        <w:pStyle w:val="0"/>
        <w:spacing w:before="240" w:line-rule="auto"/>
        <w:ind w:firstLine="540"/>
        <w:jc w:val="both"/>
      </w:pPr>
      <w:r>
        <w:rPr>
          <w:sz w:val="24"/>
        </w:rPr>
        <w:t xml:space="preserve">3) отсутствие необходимых средств технического оснащения и средств контроля и испытаний;</w:t>
      </w:r>
    </w:p>
    <w:p>
      <w:pPr>
        <w:pStyle w:val="0"/>
        <w:spacing w:before="240" w:line-rule="auto"/>
        <w:ind w:firstLine="540"/>
        <w:jc w:val="both"/>
      </w:pPr>
      <w:r>
        <w:rPr>
          <w:sz w:val="24"/>
        </w:rPr>
        <w:t xml:space="preserve">4) использование средств контроля и испытаний, не прошедших метрологический контроль в установленном порядке и в установленные сроки;</w:t>
      </w:r>
    </w:p>
    <w:p>
      <w:pPr>
        <w:pStyle w:val="0"/>
        <w:spacing w:before="240" w:line-rule="auto"/>
        <w:ind w:firstLine="540"/>
        <w:jc w:val="both"/>
      </w:pPr>
      <w:r>
        <w:rPr>
          <w:sz w:val="24"/>
        </w:rPr>
        <w:t xml:space="preserve">5) отсутствие документированных процедур контроля, обеспечивающих стабильность характеристик продукции, или их невыполнение.</w:t>
      </w:r>
    </w:p>
    <w:p>
      <w:pPr>
        <w:pStyle w:val="0"/>
        <w:spacing w:before="240" w:line-rule="auto"/>
        <w:ind w:firstLine="540"/>
        <w:jc w:val="both"/>
      </w:pPr>
      <w:r>
        <w:rPr>
          <w:sz w:val="24"/>
        </w:rPr>
        <w:t xml:space="preserve">36. Наличие существенных несоответствий свидетельствует о неудовлетворительном состоянии производства.</w:t>
      </w:r>
    </w:p>
    <w:p>
      <w:pPr>
        <w:pStyle w:val="0"/>
        <w:spacing w:before="240" w:line-rule="auto"/>
        <w:ind w:firstLine="540"/>
        <w:jc w:val="both"/>
      </w:pPr>
      <w:r>
        <w:rPr>
          <w:sz w:val="24"/>
        </w:rPr>
        <w:t xml:space="preserve">37. При наличии одного или нескольких существенных несоответствий организация должна провести корректирующие мероприятия в сроки, согласованные с аккредитованным органом по сертификации.</w:t>
      </w:r>
    </w:p>
    <w:p>
      <w:pPr>
        <w:pStyle w:val="0"/>
        <w:spacing w:before="240" w:line-rule="auto"/>
        <w:ind w:firstLine="540"/>
        <w:jc w:val="both"/>
      </w:pPr>
      <w:r>
        <w:rPr>
          <w:sz w:val="24"/>
        </w:rPr>
        <w:t xml:space="preserve">38. Несущественные замечания должны быть устранены не позднее дня проведения очередного инспекционного контроля.</w:t>
      </w:r>
    </w:p>
    <w:p>
      <w:pPr>
        <w:pStyle w:val="0"/>
        <w:spacing w:before="240" w:line-rule="auto"/>
        <w:ind w:firstLine="540"/>
        <w:jc w:val="both"/>
      </w:pPr>
      <w:r>
        <w:rPr>
          <w:sz w:val="24"/>
        </w:rPr>
        <w:t xml:space="preserve">39. По результатам проверки составляется акт о результатах анализа состояния производства сертифицируемой продукции. В акте указываются:</w:t>
      </w:r>
    </w:p>
    <w:p>
      <w:pPr>
        <w:pStyle w:val="0"/>
        <w:spacing w:before="240" w:line-rule="auto"/>
        <w:ind w:firstLine="540"/>
        <w:jc w:val="both"/>
      </w:pPr>
      <w:r>
        <w:rPr>
          <w:sz w:val="24"/>
        </w:rPr>
        <w:t xml:space="preserve">1) результаты проверки;</w:t>
      </w:r>
    </w:p>
    <w:p>
      <w:pPr>
        <w:pStyle w:val="0"/>
        <w:spacing w:before="240" w:line-rule="auto"/>
        <w:ind w:firstLine="540"/>
        <w:jc w:val="both"/>
      </w:pPr>
      <w:r>
        <w:rPr>
          <w:sz w:val="24"/>
        </w:rPr>
        <w:t xml:space="preserve">2) дополнительные материалы, использованные при анализе состояния производства сертифицируемой продукции;</w:t>
      </w:r>
    </w:p>
    <w:p>
      <w:pPr>
        <w:pStyle w:val="0"/>
        <w:spacing w:before="240" w:line-rule="auto"/>
        <w:ind w:firstLine="540"/>
        <w:jc w:val="both"/>
      </w:pPr>
      <w:r>
        <w:rPr>
          <w:sz w:val="24"/>
        </w:rPr>
        <w:t xml:space="preserve">3) общая оценка состояния производства;</w:t>
      </w:r>
    </w:p>
    <w:p>
      <w:pPr>
        <w:pStyle w:val="0"/>
        <w:spacing w:before="240" w:line-rule="auto"/>
        <w:ind w:firstLine="540"/>
        <w:jc w:val="both"/>
      </w:pPr>
      <w:r>
        <w:rPr>
          <w:sz w:val="24"/>
        </w:rPr>
        <w:t xml:space="preserve">4) необходимость и сроки выполнения корректирующих мероприятий.</w:t>
      </w:r>
    </w:p>
    <w:p>
      <w:pPr>
        <w:pStyle w:val="0"/>
        <w:spacing w:before="240" w:line-rule="auto"/>
        <w:ind w:firstLine="540"/>
        <w:jc w:val="both"/>
      </w:pPr>
      <w:r>
        <w:rPr>
          <w:sz w:val="24"/>
        </w:rPr>
        <w:t xml:space="preserve">40. Акт о результатах анализа состояния производства сертифицируемой продукции хранится аккредитованным органом по сертификации, а его копия направляется заявителю (изготовителю, продавцу).</w:t>
      </w:r>
    </w:p>
    <w:p>
      <w:pPr>
        <w:pStyle w:val="0"/>
        <w:spacing w:before="240" w:line-rule="auto"/>
        <w:ind w:firstLine="540"/>
        <w:jc w:val="both"/>
      </w:pPr>
      <w:r>
        <w:rPr>
          <w:sz w:val="24"/>
        </w:rPr>
        <w:t xml:space="preserve">41. Решение о конфиденциальности информации, полученной в ходе проверки, принимает проверяемая организация.</w:t>
      </w:r>
    </w:p>
    <w:p>
      <w:pPr>
        <w:pStyle w:val="0"/>
        <w:spacing w:before="240" w:line-rule="auto"/>
        <w:ind w:firstLine="540"/>
        <w:jc w:val="both"/>
      </w:pPr>
      <w:r>
        <w:rPr>
          <w:sz w:val="24"/>
        </w:rPr>
        <w:t xml:space="preserve">42. Аккредитованный орган по сертификации учитывает результаты анализа состояния производства наряду с протоколом испытаний (отчетом об испытаниях) при принятии решения о возможности и об условиях выдачи сертификата.</w:t>
      </w:r>
    </w:p>
    <w:p>
      <w:pPr>
        <w:pStyle w:val="0"/>
        <w:spacing w:before="240" w:line-rule="auto"/>
        <w:ind w:firstLine="540"/>
        <w:jc w:val="both"/>
      </w:pPr>
      <w:r>
        <w:rPr>
          <w:sz w:val="24"/>
        </w:rPr>
        <w:t xml:space="preserve">43. Аккредитованный орган по сертификации после анализа протокола испытаний (отчета об испытаниях), результатов анализа состояния производства (если это установлено схемой сертификации), других документов о соответствии продукции требованиям пожарной безопасности готовит решение о выдаче (об отказе в выдаче) сертификата.</w:t>
      </w:r>
    </w:p>
    <w:p>
      <w:pPr>
        <w:pStyle w:val="0"/>
        <w:spacing w:before="240" w:line-rule="auto"/>
        <w:ind w:firstLine="540"/>
        <w:jc w:val="both"/>
      </w:pPr>
      <w:r>
        <w:rPr>
          <w:sz w:val="24"/>
        </w:rPr>
        <w:t xml:space="preserve">44. На основании решения о выдаче сертификата соответствия продукции требованиям пожарной безопасности аккредитованный орган по сертификации оформляет сертификат, регистрирует его в едином реестре в установленном </w:t>
      </w:r>
      <w:r>
        <w:rPr>
          <w:sz w:val="24"/>
        </w:rPr>
        <w:t xml:space="preserve">порядке</w:t>
      </w:r>
      <w:r>
        <w:rPr>
          <w:sz w:val="24"/>
        </w:rPr>
        <w:t xml:space="preserve"> и выдает заявителю (изготовителю, продавцу). Сертификат действителен только при наличии регистрационного номера.</w:t>
      </w:r>
    </w:p>
    <w:p>
      <w:pPr>
        <w:pStyle w:val="0"/>
        <w:spacing w:before="240" w:line-rule="auto"/>
        <w:ind w:firstLine="540"/>
        <w:jc w:val="both"/>
      </w:pPr>
      <w:r>
        <w:rPr>
          <w:sz w:val="24"/>
        </w:rPr>
        <w:t xml:space="preserve">45. При отрицательных результатах оценки соответствия продукции установленным требованиям аккредитованный орган по сертификации выдает решение об отказе в выдаче сертификата с указанием причин.</w:t>
      </w:r>
    </w:p>
    <w:p>
      <w:pPr>
        <w:pStyle w:val="0"/>
        <w:spacing w:before="240" w:line-rule="auto"/>
        <w:ind w:firstLine="540"/>
        <w:jc w:val="both"/>
      </w:pPr>
      <w:r>
        <w:rPr>
          <w:sz w:val="24"/>
        </w:rPr>
        <w:t xml:space="preserve">46. Сертификат соответствия продукции требованиям настоящего Федерального закона оформляется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47. Сертификат соответствия продукции требованиям пожарной безопасности может иметь приложение, содержащее перечень конкретных видов и типов продукции, на которые распространяется его действие.</w:t>
      </w:r>
    </w:p>
    <w:p>
      <w:pPr>
        <w:pStyle w:val="0"/>
        <w:spacing w:before="240" w:line-rule="auto"/>
        <w:ind w:firstLine="540"/>
        <w:jc w:val="both"/>
      </w:pPr>
      <w:r>
        <w:rPr>
          <w:sz w:val="24"/>
        </w:rPr>
        <w:t xml:space="preserve">48. Для продукции, выпускаемой серийно, срок действия сертификата соответствия продукции требованиям пожарной безопасности устанавливается для схем:</w:t>
      </w:r>
    </w:p>
    <w:p>
      <w:pPr>
        <w:pStyle w:val="0"/>
        <w:spacing w:before="240" w:line-rule="auto"/>
        <w:ind w:firstLine="540"/>
        <w:jc w:val="both"/>
      </w:pPr>
      <w:r>
        <w:rPr>
          <w:sz w:val="24"/>
        </w:rPr>
        <w:t xml:space="preserve">1) 2с - не более 1 года;</w:t>
      </w:r>
    </w:p>
    <w:p>
      <w:pPr>
        <w:pStyle w:val="0"/>
        <w:spacing w:before="240" w:line-rule="auto"/>
        <w:ind w:firstLine="540"/>
        <w:jc w:val="both"/>
      </w:pPr>
      <w:r>
        <w:rPr>
          <w:sz w:val="24"/>
        </w:rPr>
        <w:t xml:space="preserve">2) 3с - не более 3 лет;</w:t>
      </w:r>
    </w:p>
    <w:p>
      <w:pPr>
        <w:pStyle w:val="0"/>
        <w:spacing w:before="240" w:line-rule="auto"/>
        <w:ind w:firstLine="540"/>
        <w:jc w:val="both"/>
      </w:pPr>
      <w:r>
        <w:rPr>
          <w:sz w:val="24"/>
        </w:rPr>
        <w:t xml:space="preserve">3) 4с - не более 5 лет.</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49. Для продукции, выпускаемой единично или партиями (схемы 6с и 7с), срок действия выданного сертификата соответствия продукции требованиям пожарной безопасности устанавливается до окончания срока годности (службы) указанной продукции,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По истечении указанного срока продукция может перестать удовлетворять требованиям пожарной безопасности. Если такой срок изготовителем не установлен, срок действия сертификата составляет 1 год.</w:t>
      </w:r>
    </w:p>
    <w:p>
      <w:pPr>
        <w:pStyle w:val="0"/>
        <w:spacing w:before="240" w:line-rule="auto"/>
        <w:ind w:firstLine="540"/>
        <w:jc w:val="both"/>
      </w:pPr>
      <w:r>
        <w:rPr>
          <w:sz w:val="24"/>
        </w:rPr>
        <w:t xml:space="preserve">50. 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после ее поставки, продажи в течение срока годности (службы),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Если срок изготовителем не установлен, то для данной продукции сертификат действителен в течение 1 года после даты окончания его действия. В течение этих же сроков действителен и сертификат на партию продукции.</w:t>
      </w:r>
    </w:p>
    <w:p>
      <w:pPr>
        <w:pStyle w:val="0"/>
        <w:spacing w:before="240" w:line-rule="auto"/>
        <w:ind w:firstLine="540"/>
        <w:jc w:val="both"/>
      </w:pPr>
      <w:r>
        <w:rPr>
          <w:sz w:val="24"/>
        </w:rPr>
        <w:t xml:space="preserve">51. По истечении срока действия сертификата на серийно выпускаемую продукцию, сертифицированную по схеме 4с, срок действия сертификата на ту же продукцию может быть продлен по решению аккредитованного органа по сертификации, проводившего предыдущую сертификацию, на основании положительных результатов инспекционного контроля этой продукции и протокола испытаний (отчета об испытаниях), проведенных с учетом ранее проведенных испытаний по сокращенной программе. Для продления срока действия сертификата соответствия заявитель направляет в аккредитованный орган по сертификации запрос о продлении срока действия сертификата соответствия, содержащий заявление о том, что с момента проведения инспекционного контроля изменения в рецептуру и процесс изготовления сертифицированной продукции, влияющие на ее безопасность, не вносились. К запросу должен быть приложен оригинал ранее выданного сертификата соответствия.</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52. При внесении изменений в конструкцию (состав) продукции или технологию ее производства изготовитель должен известить об этом аккредитованный орган по сертификации, выдавший сертификат. Аккредитованный орган по сертификации принимает решение о распространении действия сертификата на модернизированную продукцию или о необходимости проведения новых испытаний или дополнительной оценки производства этой продукции.</w:t>
      </w:r>
    </w:p>
    <w:p>
      <w:pPr>
        <w:pStyle w:val="0"/>
        <w:spacing w:before="240" w:line-rule="auto"/>
        <w:ind w:firstLine="540"/>
        <w:jc w:val="both"/>
      </w:pPr>
      <w:r>
        <w:rPr>
          <w:sz w:val="24"/>
        </w:rPr>
        <w:t xml:space="preserve">53. Инспекционный контроль за сертифицированной продукцией осуществляют аккредитованные органы по сертификации, проводившие ее сертификацию, с привлечением при необходимости представителей испытательной лаборатории, проводившей испытания. Инспекционный контроль проводится в форме периодических и внеплановых проверок, обеспечивающих получение информации о сертифицированной продукции в виде результатов испытаний и анализа состояния производства, о соблюдении условий и правил применения сертификата и знака обращения на рынке в целях подтверждения того, что продукция в течение времени действия сертификата продолжает соответствовать требованиям пожарной безопасности.</w:t>
      </w:r>
    </w:p>
    <w:p>
      <w:pPr>
        <w:pStyle w:val="0"/>
        <w:spacing w:before="240" w:line-rule="auto"/>
        <w:ind w:firstLine="540"/>
        <w:jc w:val="both"/>
      </w:pPr>
      <w:r>
        <w:rPr>
          <w:sz w:val="24"/>
        </w:rPr>
        <w:t xml:space="preserve">54. Инспекционный контроль за сертифицированной продукцией проводится при сроке действия сертификата более 1 года:</w:t>
      </w:r>
    </w:p>
    <w:p>
      <w:pPr>
        <w:pStyle w:val="0"/>
        <w:spacing w:before="240" w:line-rule="auto"/>
        <w:ind w:firstLine="540"/>
        <w:jc w:val="both"/>
      </w:pPr>
      <w:r>
        <w:rPr>
          <w:sz w:val="24"/>
        </w:rPr>
        <w:t xml:space="preserve">1) не более одного раза за период действия сертификата, выданного на срок до 2 лет включительно;</w:t>
      </w:r>
    </w:p>
    <w:p>
      <w:pPr>
        <w:pStyle w:val="0"/>
        <w:spacing w:before="240" w:line-rule="auto"/>
        <w:ind w:firstLine="540"/>
        <w:jc w:val="both"/>
      </w:pPr>
      <w:r>
        <w:rPr>
          <w:sz w:val="24"/>
        </w:rPr>
        <w:t xml:space="preserve">2) не менее двух раз за период действия сертификата, выданного на срок от 2 до 4 лет включительно;</w:t>
      </w:r>
    </w:p>
    <w:p>
      <w:pPr>
        <w:pStyle w:val="0"/>
        <w:spacing w:before="240" w:line-rule="auto"/>
        <w:ind w:firstLine="540"/>
        <w:jc w:val="both"/>
      </w:pPr>
      <w:r>
        <w:rPr>
          <w:sz w:val="24"/>
        </w:rPr>
        <w:t xml:space="preserve">3) не менее трех раз за период действия сертификата, выданного на срок более 4 лет.</w:t>
      </w:r>
    </w:p>
    <w:p>
      <w:pPr>
        <w:pStyle w:val="0"/>
        <w:spacing w:before="240" w:line-rule="auto"/>
        <w:ind w:firstLine="540"/>
        <w:jc w:val="both"/>
      </w:pPr>
      <w:r>
        <w:rPr>
          <w:sz w:val="24"/>
        </w:rPr>
        <w:t xml:space="preserve">55. Критериями для определения периодичности и объема инспекционного контроля являются степень потенциальной опасности продукции, результаты проведенной сертификации продукции, стабильность производства, объем выпуска продукции и стоимость проведения инспекционного контроля.</w:t>
      </w:r>
    </w:p>
    <w:p>
      <w:pPr>
        <w:pStyle w:val="0"/>
        <w:jc w:val="both"/>
      </w:pPr>
      <w:r>
        <w:rPr>
          <w:sz w:val="24"/>
        </w:rPr>
        <w:t xml:space="preserve">(в ред. Федерального </w:t>
      </w:r>
      <w:r>
        <w:rPr>
          <w:sz w:val="24"/>
        </w:rPr>
        <w:t xml:space="preserve">закона</w:t>
      </w:r>
      <w:r>
        <w:rPr>
          <w:sz w:val="24"/>
        </w:rPr>
        <w:t xml:space="preserve"> от 14.07.2022 N 276-ФЗ)</w:t>
      </w:r>
    </w:p>
    <w:p>
      <w:pPr>
        <w:pStyle w:val="0"/>
        <w:spacing w:before="240" w:line-rule="auto"/>
        <w:ind w:firstLine="540"/>
        <w:jc w:val="both"/>
      </w:pPr>
      <w:r>
        <w:rPr>
          <w:sz w:val="24"/>
        </w:rPr>
        <w:t xml:space="preserve">56. Объем, периодичность, содержание и порядок проведения инспекционного контроля устанавливаются в решении аккредитованного органа по сертификации о выдаче сертификата.</w:t>
      </w:r>
    </w:p>
    <w:p>
      <w:pPr>
        <w:pStyle w:val="0"/>
        <w:spacing w:before="240" w:line-rule="auto"/>
        <w:ind w:firstLine="540"/>
        <w:jc w:val="both"/>
      </w:pPr>
      <w:r>
        <w:rPr>
          <w:sz w:val="24"/>
        </w:rPr>
        <w:t xml:space="preserve">57. Внеплановый инспекционный контроль проводится в случае поступления информации о претензиях к безопасности продукции от потребителей, торговых организаций, а также от органов, осуществляющих общественный или государственный контроль за качеством продукции, на которую выдан сертификат.</w:t>
      </w:r>
    </w:p>
    <w:p>
      <w:pPr>
        <w:pStyle w:val="0"/>
        <w:spacing w:before="240" w:line-rule="auto"/>
        <w:ind w:firstLine="540"/>
        <w:jc w:val="both"/>
      </w:pPr>
      <w:r>
        <w:rPr>
          <w:sz w:val="24"/>
        </w:rPr>
        <w:t xml:space="preserve">58. Инспекционный контроль, как правило, включает в себя:</w:t>
      </w:r>
    </w:p>
    <w:p>
      <w:pPr>
        <w:pStyle w:val="0"/>
        <w:spacing w:before="240" w:line-rule="auto"/>
        <w:ind w:firstLine="540"/>
        <w:jc w:val="both"/>
      </w:pPr>
      <w:r>
        <w:rPr>
          <w:sz w:val="24"/>
        </w:rPr>
        <w:t xml:space="preserve">1) анализ материалов сертификации продукции;</w:t>
      </w:r>
    </w:p>
    <w:p>
      <w:pPr>
        <w:pStyle w:val="0"/>
        <w:spacing w:before="240" w:line-rule="auto"/>
        <w:ind w:firstLine="540"/>
        <w:jc w:val="both"/>
      </w:pPr>
      <w:r>
        <w:rPr>
          <w:sz w:val="24"/>
        </w:rPr>
        <w:t xml:space="preserve">2) анализ поступающей информации о сертифицированной продукции;</w:t>
      </w:r>
    </w:p>
    <w:p>
      <w:pPr>
        <w:pStyle w:val="0"/>
        <w:spacing w:before="240" w:line-rule="auto"/>
        <w:ind w:firstLine="540"/>
        <w:jc w:val="both"/>
      </w:pPr>
      <w:r>
        <w:rPr>
          <w:sz w:val="24"/>
        </w:rPr>
        <w:t xml:space="preserve">3) проверку соответствия документов на сертифицированную продукцию требованиям настоящего Федерального закона;</w:t>
      </w:r>
    </w:p>
    <w:p>
      <w:pPr>
        <w:pStyle w:val="0"/>
        <w:spacing w:before="240" w:line-rule="auto"/>
        <w:ind w:firstLine="540"/>
        <w:jc w:val="both"/>
      </w:pPr>
      <w:r>
        <w:rPr>
          <w:sz w:val="24"/>
        </w:rPr>
        <w:t xml:space="preserve">4) отбор и идентификацию образцов, проведение испытаний образцов и анализ полученных результатов;</w:t>
      </w:r>
    </w:p>
    <w:p>
      <w:pPr>
        <w:pStyle w:val="0"/>
        <w:spacing w:before="240" w:line-rule="auto"/>
        <w:ind w:firstLine="540"/>
        <w:jc w:val="both"/>
      </w:pPr>
      <w:r>
        <w:rPr>
          <w:sz w:val="24"/>
        </w:rPr>
        <w:t xml:space="preserve">5) проверку состояния производства, если это предусмотрено схемой сертификации;</w:t>
      </w:r>
    </w:p>
    <w:p>
      <w:pPr>
        <w:pStyle w:val="0"/>
        <w:spacing w:before="240" w:line-rule="auto"/>
        <w:ind w:firstLine="540"/>
        <w:jc w:val="both"/>
      </w:pPr>
      <w:r>
        <w:rPr>
          <w:sz w:val="24"/>
        </w:rPr>
        <w:t xml:space="preserve">6) анализ результатов и решений, принятых по результатам контроля;</w:t>
      </w:r>
    </w:p>
    <w:p>
      <w:pPr>
        <w:pStyle w:val="0"/>
        <w:spacing w:before="240" w:line-rule="auto"/>
        <w:ind w:firstLine="540"/>
        <w:jc w:val="both"/>
      </w:pPr>
      <w:r>
        <w:rPr>
          <w:sz w:val="24"/>
        </w:rPr>
        <w:t xml:space="preserve">7) проверку корректирующих мероприятий по устранению ранее выявленных несоответствий;</w:t>
      </w:r>
    </w:p>
    <w:p>
      <w:pPr>
        <w:pStyle w:val="0"/>
        <w:spacing w:before="240" w:line-rule="auto"/>
        <w:ind w:firstLine="540"/>
        <w:jc w:val="both"/>
      </w:pPr>
      <w:r>
        <w:rPr>
          <w:sz w:val="24"/>
        </w:rPr>
        <w:t xml:space="preserve">8) проверку правильности маркировки продукции знаком обращения продукции на рынке;</w:t>
      </w:r>
    </w:p>
    <w:p>
      <w:pPr>
        <w:pStyle w:val="0"/>
        <w:spacing w:before="240" w:line-rule="auto"/>
        <w:ind w:firstLine="540"/>
        <w:jc w:val="both"/>
      </w:pPr>
      <w:r>
        <w:rPr>
          <w:sz w:val="24"/>
        </w:rPr>
        <w:t xml:space="preserve">9) анализ рекламаций на сертифицированную продукцию.</w:t>
      </w:r>
    </w:p>
    <w:p>
      <w:pPr>
        <w:pStyle w:val="0"/>
        <w:spacing w:before="240" w:line-rule="auto"/>
        <w:ind w:firstLine="540"/>
        <w:jc w:val="both"/>
      </w:pPr>
      <w:r>
        <w:rPr>
          <w:sz w:val="24"/>
        </w:rPr>
        <w:t xml:space="preserve">59. Содержание, объем и порядок проведения испытаний при проведении инспекционного контроля определяет аккредитованный орган по сертификации, проводящий контроль.</w:t>
      </w:r>
    </w:p>
    <w:p>
      <w:pPr>
        <w:pStyle w:val="0"/>
        <w:spacing w:before="240" w:line-rule="auto"/>
        <w:ind w:firstLine="540"/>
        <w:jc w:val="both"/>
      </w:pPr>
      <w:r>
        <w:rPr>
          <w:sz w:val="24"/>
        </w:rPr>
        <w:t xml:space="preserve">60. В качестве результатов испытаний, подтверждающих соответствие продукции установленным требованиям, допускается использование протоколов периодических испытаний, проведенных или организованных изготовителем, а также испытаний, проведенных или организованных изготовителем в присутствии представителя аккредитованного органа по сертификации по разработанной им программе и с соблюдением условий, необходимых для обеспечения достоверности результатов.</w:t>
      </w:r>
    </w:p>
    <w:p>
      <w:pPr>
        <w:pStyle w:val="0"/>
        <w:spacing w:before="240" w:line-rule="auto"/>
        <w:ind w:firstLine="540"/>
        <w:jc w:val="both"/>
      </w:pPr>
      <w:r>
        <w:rPr>
          <w:sz w:val="24"/>
        </w:rPr>
        <w:t xml:space="preserve">61. В случае получения отрицательных результатов при испытаниях, проведенных или организованных изготовителем в присутствии представителя аккредитованного органа по сертификации, должны быть проведены повторные испытания вновь отобранных образцов аккредитованной испытательной лабораторией. Результаты повторных испытаний считаются окончательными и распространяются на всю сертифицированную продукцию.</w:t>
      </w:r>
    </w:p>
    <w:p>
      <w:pPr>
        <w:pStyle w:val="0"/>
        <w:spacing w:before="240" w:line-rule="auto"/>
        <w:ind w:firstLine="540"/>
        <w:jc w:val="both"/>
      </w:pPr>
      <w:r>
        <w:rPr>
          <w:sz w:val="24"/>
        </w:rPr>
        <w:t xml:space="preserve">62. Инспекционные испытания продукции, сертифицированной в соответствии со схемой 3с, проводятся только аккредитованными испытательными лабораториями.</w:t>
      </w:r>
    </w:p>
    <w:p>
      <w:pPr>
        <w:pStyle w:val="0"/>
        <w:spacing w:before="240" w:line-rule="auto"/>
        <w:ind w:firstLine="540"/>
        <w:jc w:val="both"/>
      </w:pPr>
      <w:r>
        <w:rPr>
          <w:sz w:val="24"/>
        </w:rPr>
        <w:t xml:space="preserve">63. Внеплановую инспекционную проверку производства проводят при наличии информации о нарушениях настоящего Федерального закона.</w:t>
      </w:r>
    </w:p>
    <w:p>
      <w:pPr>
        <w:pStyle w:val="0"/>
        <w:spacing w:before="240" w:line-rule="auto"/>
        <w:ind w:firstLine="540"/>
        <w:jc w:val="both"/>
      </w:pPr>
      <w:r>
        <w:rPr>
          <w:sz w:val="24"/>
        </w:rPr>
        <w:t xml:space="preserve">64. Результаты инспекционного контроля оформляются актом о проведении инспекционного контроля.</w:t>
      </w:r>
    </w:p>
    <w:p>
      <w:pPr>
        <w:pStyle w:val="0"/>
        <w:spacing w:before="240" w:line-rule="auto"/>
        <w:ind w:firstLine="540"/>
        <w:jc w:val="both"/>
      </w:pPr>
      <w:r>
        <w:rPr>
          <w:sz w:val="24"/>
        </w:rPr>
        <w:t xml:space="preserve">65. В акте о проведении инспекционного контроля делается заключение о соответствии продукции требованиям настоящего Федерального закона, стабильности их выполнения и возможности сохранения действия выданного сертификата или о приостановлении (об отмене) действия сертификата.</w:t>
      </w:r>
    </w:p>
    <w:p>
      <w:pPr>
        <w:pStyle w:val="0"/>
        <w:spacing w:before="240" w:line-rule="auto"/>
        <w:ind w:firstLine="540"/>
        <w:jc w:val="both"/>
      </w:pPr>
      <w:r>
        <w:rPr>
          <w:sz w:val="24"/>
        </w:rPr>
        <w:t xml:space="preserve">66. При проведении корректирующих мероприятий аккредитованный орган по сертификации:</w:t>
      </w:r>
    </w:p>
    <w:p>
      <w:pPr>
        <w:pStyle w:val="0"/>
        <w:spacing w:before="240" w:line-rule="auto"/>
        <w:ind w:firstLine="540"/>
        <w:jc w:val="both"/>
      </w:pPr>
      <w:r>
        <w:rPr>
          <w:sz w:val="24"/>
        </w:rPr>
        <w:t xml:space="preserve">1) приостанавливает действие сертификата соответствия требованиям настоящего Федерального закона;</w:t>
      </w:r>
    </w:p>
    <w:p>
      <w:pPr>
        <w:pStyle w:val="0"/>
        <w:spacing w:before="240" w:line-rule="auto"/>
        <w:ind w:firstLine="540"/>
        <w:jc w:val="both"/>
      </w:pPr>
      <w:r>
        <w:rPr>
          <w:sz w:val="24"/>
        </w:rPr>
        <w:t xml:space="preserve">2) информирует в установленном порядке органы государственного контроля (надзора) о приостановлении или прекращении действия сертификата соответствия требованиям настоящего Федерального закона;</w:t>
      </w:r>
    </w:p>
    <w:p>
      <w:pPr>
        <w:pStyle w:val="0"/>
        <w:spacing w:before="240" w:line-rule="auto"/>
        <w:ind w:firstLine="540"/>
        <w:jc w:val="both"/>
      </w:pPr>
      <w:r>
        <w:rPr>
          <w:sz w:val="24"/>
        </w:rPr>
        <w:t xml:space="preserve">3) устанавливает срок выполнения изготовителем (продавцом) корректирующих мероприятий;</w:t>
      </w:r>
    </w:p>
    <w:p>
      <w:pPr>
        <w:pStyle w:val="0"/>
        <w:spacing w:before="240" w:line-rule="auto"/>
        <w:ind w:firstLine="540"/>
        <w:jc w:val="both"/>
      </w:pPr>
      <w:r>
        <w:rPr>
          <w:sz w:val="24"/>
        </w:rPr>
        <w:t xml:space="preserve">4) контролирует выполнение изготовителем (продавцом) корректирующих мероприятий.</w:t>
      </w:r>
    </w:p>
    <w:p>
      <w:pPr>
        <w:pStyle w:val="0"/>
        <w:spacing w:before="240" w:line-rule="auto"/>
        <w:ind w:firstLine="540"/>
        <w:jc w:val="both"/>
      </w:pPr>
      <w:r>
        <w:rPr>
          <w:sz w:val="24"/>
        </w:rPr>
        <w:t xml:space="preserve">67. После того как корректирующие мероприятия выполнены и их результаты признаны удовлетворительными, аккредитованный орган по сертификации возобновляет действие сертификата.</w:t>
      </w:r>
    </w:p>
    <w:p>
      <w:pPr>
        <w:pStyle w:val="0"/>
        <w:spacing w:before="240" w:line-rule="auto"/>
        <w:ind w:firstLine="540"/>
        <w:jc w:val="both"/>
      </w:pPr>
      <w:r>
        <w:rPr>
          <w:sz w:val="24"/>
        </w:rPr>
        <w:t xml:space="preserve">68. В случае невыполнения изготовителем (продавцом) корректирующих мероприятий или в случае их неэффективности аккредитованный орган по сертификации прекращает действие сертификата и выдает держателю сертификата решение об отмене действия сертификата.</w:t>
      </w:r>
    </w:p>
    <w:p>
      <w:pPr>
        <w:pStyle w:val="0"/>
        <w:spacing w:before="240" w:line-rule="auto"/>
        <w:ind w:firstLine="540"/>
        <w:jc w:val="both"/>
      </w:pPr>
      <w:r>
        <w:rPr>
          <w:sz w:val="24"/>
        </w:rPr>
        <w:t xml:space="preserve">69. Основаниями для рассмотрения вопроса о прекращении действия сертификата могут являться:</w:t>
      </w:r>
    </w:p>
    <w:p>
      <w:pPr>
        <w:pStyle w:val="0"/>
        <w:spacing w:before="240" w:line-rule="auto"/>
        <w:ind w:firstLine="540"/>
        <w:jc w:val="both"/>
      </w:pPr>
      <w:r>
        <w:rPr>
          <w:sz w:val="24"/>
        </w:rPr>
        <w:t xml:space="preserve">1) изменение конструкции (состава) и комплектности продукции;</w:t>
      </w:r>
    </w:p>
    <w:p>
      <w:pPr>
        <w:pStyle w:val="0"/>
        <w:spacing w:before="240" w:line-rule="auto"/>
        <w:ind w:firstLine="540"/>
        <w:jc w:val="both"/>
      </w:pPr>
      <w:r>
        <w:rPr>
          <w:sz w:val="24"/>
        </w:rPr>
        <w:t xml:space="preserve">2) изменение организации и (или) технологии производства;</w:t>
      </w:r>
    </w:p>
    <w:p>
      <w:pPr>
        <w:pStyle w:val="0"/>
        <w:spacing w:before="240" w:line-rule="auto"/>
        <w:ind w:firstLine="540"/>
        <w:jc w:val="both"/>
      </w:pPr>
      <w:r>
        <w:rPr>
          <w:sz w:val="24"/>
        </w:rPr>
        <w:t xml:space="preserve">3) изменение (невыполнение) требований технологии, методов контроля и испытаний, системы обеспечения качества;</w:t>
      </w:r>
    </w:p>
    <w:p>
      <w:pPr>
        <w:pStyle w:val="0"/>
        <w:spacing w:before="240" w:line-rule="auto"/>
        <w:ind w:firstLine="540"/>
        <w:jc w:val="both"/>
      </w:pPr>
      <w:r>
        <w:rPr>
          <w:sz w:val="24"/>
        </w:rPr>
        <w:t xml:space="preserve">4) сообщения органов государственной власти или обществ потребителей о несоответствии продукции требованиям, контролируемым при сертификации;</w:t>
      </w:r>
    </w:p>
    <w:p>
      <w:pPr>
        <w:pStyle w:val="0"/>
        <w:spacing w:before="240" w:line-rule="auto"/>
        <w:ind w:firstLine="540"/>
        <w:jc w:val="both"/>
      </w:pPr>
      <w:r>
        <w:rPr>
          <w:sz w:val="24"/>
        </w:rPr>
        <w:t xml:space="preserve">5) материалы дознаний по пожарам, результаты проверок, осуществляемых органами федерального государственного пожарного надзора и другими надзорными органами;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6) отрицательные результаты инспекционного контроля сертифицированной продукции;</w:t>
      </w:r>
    </w:p>
    <w:p>
      <w:pPr>
        <w:pStyle w:val="0"/>
        <w:spacing w:before="240" w:line-rule="auto"/>
        <w:ind w:firstLine="540"/>
        <w:jc w:val="both"/>
      </w:pPr>
      <w:r>
        <w:rPr>
          <w:sz w:val="24"/>
        </w:rPr>
        <w:t xml:space="preserve">7) отказ от проведения или непредоставление возможности проведения инспекционного контроля сертифицированной продукции в сроки, установленные аккредитованным органом по сертификации;</w:t>
      </w:r>
    </w:p>
    <w:p>
      <w:pPr>
        <w:pStyle w:val="0"/>
        <w:spacing w:before="240" w:line-rule="auto"/>
        <w:ind w:firstLine="540"/>
        <w:jc w:val="both"/>
      </w:pPr>
      <w:r>
        <w:rPr>
          <w:sz w:val="24"/>
        </w:rPr>
        <w:t xml:space="preserve">8) реорганизация юридического лица, в том числе преобразование (изменение организационно-правовой формы);</w:t>
      </w:r>
    </w:p>
    <w:p>
      <w:pPr>
        <w:pStyle w:val="0"/>
        <w:spacing w:before="240" w:line-rule="auto"/>
        <w:ind w:firstLine="540"/>
        <w:jc w:val="both"/>
      </w:pPr>
      <w:r>
        <w:rPr>
          <w:sz w:val="24"/>
        </w:rPr>
        <w:t xml:space="preserve">9) нарушение процедур сертификации, установленных настоящей статьей.</w:t>
      </w:r>
    </w:p>
    <w:p>
      <w:pPr>
        <w:pStyle w:val="0"/>
        <w:jc w:val="both"/>
      </w:pPr>
      <w:r>
        <w:rPr>
          <w:sz w:val="24"/>
        </w:rPr>
        <w:t xml:space="preserve">(п. 9 введен Федеральным </w:t>
      </w:r>
      <w:r>
        <w:rPr>
          <w:sz w:val="24"/>
        </w:rPr>
        <w:t xml:space="preserve">законом</w:t>
      </w:r>
      <w:r>
        <w:rPr>
          <w:sz w:val="24"/>
        </w:rPr>
        <w:t xml:space="preserve"> от 10.07.2012 N 117-ФЗ)</w:t>
      </w:r>
    </w:p>
    <w:p>
      <w:pPr>
        <w:pStyle w:val="0"/>
        <w:spacing w:before="240" w:line-rule="auto"/>
        <w:ind w:firstLine="540"/>
        <w:jc w:val="both"/>
      </w:pPr>
      <w:r>
        <w:rPr>
          <w:sz w:val="24"/>
        </w:rPr>
        <w:t xml:space="preserve">70. В случае, если путем корректирующих мероприятий, согласованных с аккредитованным органом по сертификации, изготовитель (продавец) может устранить обнаруженные причины несоответствия продукции требованиям настоящего Федерального закона и подтвердить устранение данного несоответствия без повторных испытаний в аккредитованной испытательной лаборатории, действие сертификата приостанавливается. Если изготовитель (продавец) не может устранить причины несоответствия продукции требованиям настоящего Федерального закона, действие сертификата прекращается. Сертификат исключается из единого реестра, изготовитель (продавец) обязан возвратить сертификат в аккредитованный орган по сертификации, выдавший сертификат.</w:t>
      </w:r>
    </w:p>
    <w:p>
      <w:pPr>
        <w:pStyle w:val="0"/>
        <w:spacing w:before="240" w:line-rule="auto"/>
        <w:ind w:firstLine="540"/>
        <w:jc w:val="both"/>
      </w:pPr>
      <w:r>
        <w:rPr>
          <w:sz w:val="24"/>
        </w:rPr>
        <w:t xml:space="preserve">71. В случае, если аккредитованный орган по сертификации принимает решение о приостановлении действия сертификата, он указывает в решении выявленные недостатки и устанавливает сроки их устранения.</w:t>
      </w:r>
    </w:p>
    <w:p>
      <w:pPr>
        <w:pStyle w:val="0"/>
        <w:spacing w:before="240" w:line-rule="auto"/>
        <w:ind w:firstLine="540"/>
        <w:jc w:val="both"/>
      </w:pPr>
      <w:r>
        <w:rPr>
          <w:sz w:val="24"/>
        </w:rPr>
        <w:t xml:space="preserve">72. Прекращение действия и изъятие сертификата оформляются решением аккредитованного органа по сертификации.</w:t>
      </w:r>
    </w:p>
    <w:p>
      <w:pPr>
        <w:pStyle w:val="0"/>
        <w:spacing w:before="240" w:line-rule="auto"/>
        <w:ind w:firstLine="540"/>
        <w:jc w:val="both"/>
      </w:pPr>
      <w:r>
        <w:rPr>
          <w:sz w:val="24"/>
        </w:rPr>
        <w:t xml:space="preserve">73. Решение о приостановлении действия или о прекращении действия сертификата вручается под расписку или высылается по почте изготовителю (продавцу) в течение 7 дней.</w:t>
      </w:r>
    </w:p>
    <w:p>
      <w:pPr>
        <w:pStyle w:val="0"/>
        <w:spacing w:before="240" w:line-rule="auto"/>
        <w:ind w:firstLine="540"/>
        <w:jc w:val="both"/>
      </w:pPr>
      <w:r>
        <w:rPr>
          <w:sz w:val="24"/>
        </w:rPr>
        <w:t xml:space="preserve">74. Повторное представление на сертификацию продукции осуществляется в общем порядке.</w:t>
      </w:r>
    </w:p>
    <w:p>
      <w:pPr>
        <w:pStyle w:val="0"/>
        <w:ind w:firstLine="540"/>
        <w:jc w:val="both"/>
      </w:pPr>
      <w:r>
        <w:rPr>
          <w:sz w:val="24"/>
        </w:rPr>
      </w:r>
    </w:p>
    <w:bookmarkStart w:id="1944" w:name="P1944"/>
    <w:bookmarkEnd w:id="1944"/>
    <w:p>
      <w:pPr>
        <w:pStyle w:val="2"/>
        <w:outlineLvl w:val="3"/>
        <w:ind w:firstLine="540"/>
        <w:jc w:val="both"/>
      </w:pPr>
      <w:r>
        <w:rPr>
          <w:sz w:val="24"/>
        </w:rPr>
        <w:t xml:space="preserve">Статья 148. Дополнительные требования, учитываемые при аккредитации органов по сертификации, испытательных лабораторий (центров)</w:t>
      </w:r>
    </w:p>
    <w:p>
      <w:pPr>
        <w:pStyle w:val="0"/>
        <w:ind w:firstLine="540"/>
        <w:jc w:val="both"/>
      </w:pPr>
      <w:r>
        <w:rPr>
          <w:sz w:val="24"/>
        </w:rPr>
      </w:r>
    </w:p>
    <w:p>
      <w:pPr>
        <w:pStyle w:val="0"/>
        <w:ind w:firstLine="540"/>
        <w:jc w:val="both"/>
      </w:pPr>
      <w:r>
        <w:rPr>
          <w:sz w:val="24"/>
        </w:rPr>
        <w:t xml:space="preserve">1. Организация, претендующая на аккредитацию в качестве испытательной лаборатории, осуществляющей сертификацию, должна быть оснащена собственным оборудованием, средствами измерений, а также расходными материалами (химическими реактивами и веществами) для правильного проведения испытаний. Испытательное оборудование, средства измерений должны соответствовать требованиям, установленным законодательством Российской Федерации, методики измерений должны отвечать требованиям нормативных документов на методы испытаний. Использование испытательной лабораторией испытательного оборудования и средств измерений, не принадлежащих данной испытательной лаборатории, допускается в случае, если:</w:t>
      </w:r>
    </w:p>
    <w:p>
      <w:pPr>
        <w:pStyle w:val="0"/>
        <w:spacing w:before="240" w:line-rule="auto"/>
        <w:ind w:firstLine="540"/>
        <w:jc w:val="both"/>
      </w:pPr>
      <w:r>
        <w:rPr>
          <w:sz w:val="24"/>
        </w:rPr>
        <w:t xml:space="preserve">1) используется дорогостоящее оборудование или оборудование, не имеющее широкого распространения или требующее регулярного квалифицированного обслуживания;</w:t>
      </w:r>
    </w:p>
    <w:p>
      <w:pPr>
        <w:pStyle w:val="0"/>
        <w:spacing w:before="240" w:line-rule="auto"/>
        <w:ind w:firstLine="540"/>
        <w:jc w:val="both"/>
      </w:pPr>
      <w:r>
        <w:rPr>
          <w:sz w:val="24"/>
        </w:rPr>
        <w:t xml:space="preserve">2) оборудование испытательной лабораторией используется нерегулярно. Объем работ, выполняемых с помощью такого оборудования, не должен превышать 10 процентов от общего числа работ, проведенных за год;</w:t>
      </w:r>
    </w:p>
    <w:p>
      <w:pPr>
        <w:pStyle w:val="0"/>
        <w:spacing w:before="240" w:line-rule="auto"/>
        <w:ind w:firstLine="540"/>
        <w:jc w:val="both"/>
      </w:pPr>
      <w:r>
        <w:rPr>
          <w:sz w:val="24"/>
        </w:rPr>
        <w:t xml:space="preserve">3) собственное оборудование испытательной лаборатории в период проведения испытаний временно неисправно или находится в стадии прохождения им аттестации или проверки.</w:t>
      </w:r>
    </w:p>
    <w:p>
      <w:pPr>
        <w:pStyle w:val="0"/>
        <w:spacing w:before="240" w:line-rule="auto"/>
        <w:ind w:firstLine="540"/>
        <w:jc w:val="both"/>
      </w:pPr>
      <w:r>
        <w:rPr>
          <w:sz w:val="24"/>
        </w:rPr>
        <w:t xml:space="preserve">2. Оборудование должно быть учтено в соответствующих документах лаборатории в соответствии с требованиями правил аккредитации, и лаборатория должна иметь письменное согласие владельца оборудования (договор аренды, соглашение о сотрудничестве и другие документы) на предоставление его для проведения испытаний в необходимое время, а также на обеспечение его пригодности для этих целей и возможность контроля его состояния.</w:t>
      </w:r>
    </w:p>
    <w:p>
      <w:pPr>
        <w:pStyle w:val="0"/>
        <w:spacing w:before="240" w:line-rule="auto"/>
        <w:ind w:firstLine="540"/>
        <w:jc w:val="both"/>
      </w:pPr>
      <w:r>
        <w:rPr>
          <w:sz w:val="24"/>
        </w:rPr>
        <w:t xml:space="preserve">3. Оборудование и средства измерения, не принадлежащие испытательной лаборатории, могут использоваться только при условии, что такое оборудование аттестовано и средства измерений проверены в установленном порядке.</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14.07.2022 N 276-ФЗ.</w:t>
      </w:r>
    </w:p>
    <w:p>
      <w:pPr>
        <w:pStyle w:val="0"/>
        <w:ind w:firstLine="540"/>
        <w:jc w:val="both"/>
      </w:pPr>
      <w:r>
        <w:rPr>
          <w:sz w:val="24"/>
        </w:rPr>
      </w:r>
    </w:p>
    <w:p>
      <w:pPr>
        <w:pStyle w:val="2"/>
        <w:outlineLvl w:val="3"/>
        <w:ind w:firstLine="540"/>
        <w:jc w:val="both"/>
      </w:pPr>
      <w:r>
        <w:rPr>
          <w:sz w:val="24"/>
        </w:rPr>
        <w:t xml:space="preserve">Статья 149. Особенности подтверждения соответствия веществ и материалов требованиям пожарной безопасности</w:t>
      </w:r>
    </w:p>
    <w:p>
      <w:pPr>
        <w:pStyle w:val="0"/>
        <w:ind w:firstLine="540"/>
        <w:jc w:val="both"/>
      </w:pPr>
      <w:r>
        <w:rPr>
          <w:sz w:val="24"/>
        </w:rPr>
      </w:r>
    </w:p>
    <w:p>
      <w:pPr>
        <w:pStyle w:val="0"/>
        <w:ind w:firstLine="540"/>
        <w:jc w:val="both"/>
      </w:pPr>
      <w:r>
        <w:rPr>
          <w:sz w:val="24"/>
        </w:rPr>
        <w:t xml:space="preserve">Подтверждение соответствия веществ и материалов требованиям настоящего Федерального закона проводится путем декларирования их соответствия или обязательной сертификации с обязательным приложением протокола испытаний с указанием значений показателей, установленных настоящим Федеральным законом, к документам, подтверждающим соответствие веществ и материалов.</w:t>
      </w:r>
    </w:p>
    <w:p>
      <w:pPr>
        <w:pStyle w:val="0"/>
        <w:ind w:firstLine="540"/>
        <w:jc w:val="both"/>
      </w:pPr>
      <w:r>
        <w:rPr>
          <w:sz w:val="24"/>
        </w:rPr>
      </w:r>
    </w:p>
    <w:p>
      <w:pPr>
        <w:pStyle w:val="2"/>
        <w:outlineLvl w:val="3"/>
        <w:ind w:firstLine="540"/>
        <w:jc w:val="both"/>
      </w:pPr>
      <w:r>
        <w:rPr>
          <w:sz w:val="24"/>
        </w:rPr>
        <w:t xml:space="preserve">Статья 150. Особенности подтверждения соответствия средств огнезащиты</w:t>
      </w:r>
    </w:p>
    <w:p>
      <w:pPr>
        <w:pStyle w:val="0"/>
        <w:ind w:firstLine="540"/>
        <w:jc w:val="both"/>
      </w:pPr>
      <w:r>
        <w:rPr>
          <w:sz w:val="24"/>
        </w:rPr>
      </w:r>
    </w:p>
    <w:p>
      <w:pPr>
        <w:pStyle w:val="0"/>
        <w:ind w:firstLine="540"/>
        <w:jc w:val="both"/>
      </w:pPr>
      <w:r>
        <w:rPr>
          <w:sz w:val="24"/>
        </w:rPr>
        <w:t xml:space="preserve">1. Подтверждение соответствия средств огнезащиты осуществляется в форме сертификации.</w:t>
      </w:r>
    </w:p>
    <w:p>
      <w:pPr>
        <w:pStyle w:val="0"/>
        <w:spacing w:before="240" w:line-rule="auto"/>
        <w:ind w:firstLine="540"/>
        <w:jc w:val="both"/>
      </w:pPr>
      <w:r>
        <w:rPr>
          <w:sz w:val="24"/>
        </w:rPr>
        <w:t xml:space="preserve">2. Для проведения сертификации заявитель представляет в аккредитованный орган по сертификации сопроводительные документы, в которых должны быть указаны основные показатели, область и способы применения средств огнезащиты.</w:t>
      </w:r>
    </w:p>
    <w:p>
      <w:pPr>
        <w:pStyle w:val="0"/>
        <w:spacing w:before="240" w:line-rule="auto"/>
        <w:ind w:firstLine="540"/>
        <w:jc w:val="both"/>
      </w:pPr>
      <w:r>
        <w:rPr>
          <w:sz w:val="24"/>
        </w:rPr>
        <w:t xml:space="preserve">3. Протоколы испытаний испытательных лабораторий должны содержать значения показателей характеризующих огнезащитную эффективность средств огнезащиты, в том числе различные варианты их применения, описанные в сопроводительных документах.</w:t>
      </w:r>
    </w:p>
    <w:p>
      <w:pPr>
        <w:pStyle w:val="0"/>
        <w:spacing w:before="240" w:line-rule="auto"/>
        <w:ind w:firstLine="540"/>
        <w:jc w:val="both"/>
      </w:pPr>
      <w:r>
        <w:rPr>
          <w:sz w:val="24"/>
        </w:rPr>
        <w:t xml:space="preserve">4. В сертификате должны быть отражены следующие специальные характеристики средств огнезащиты:</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1) наименования средств огнезащиты;</w:t>
      </w:r>
    </w:p>
    <w:p>
      <w:pPr>
        <w:pStyle w:val="0"/>
        <w:spacing w:before="240" w:line-rule="auto"/>
        <w:ind w:firstLine="540"/>
        <w:jc w:val="both"/>
      </w:pPr>
      <w:r>
        <w:rPr>
          <w:sz w:val="24"/>
        </w:rPr>
        <w:t xml:space="preserve">2) значение огнезащитной эффективности, установленное при испытаниях;</w:t>
      </w:r>
    </w:p>
    <w:p>
      <w:pPr>
        <w:pStyle w:val="0"/>
        <w:spacing w:before="240" w:line-rule="auto"/>
        <w:ind w:firstLine="540"/>
        <w:jc w:val="both"/>
      </w:pPr>
      <w:r>
        <w:rPr>
          <w:sz w:val="24"/>
        </w:rPr>
        <w:t xml:space="preserve">3) виды, марки, толщина слоев грунтовых, декоративных или атмосфероустойчивых покрытий, используемых в комбинации с данными средствами огнезащиты при сертификационных испытаниях;</w:t>
      </w:r>
    </w:p>
    <w:p>
      <w:pPr>
        <w:pStyle w:val="0"/>
        <w:spacing w:before="240" w:line-rule="auto"/>
        <w:ind w:firstLine="540"/>
        <w:jc w:val="both"/>
      </w:pPr>
      <w:r>
        <w:rPr>
          <w:sz w:val="24"/>
        </w:rPr>
        <w:t xml:space="preserve">4) толщина огнезащитного покрытия средств огнезащиты для установленной огнезащитной эффективности.</w:t>
      </w:r>
    </w:p>
    <w:p>
      <w:pPr>
        <w:pStyle w:val="0"/>
        <w:spacing w:before="240" w:line-rule="auto"/>
        <w:ind w:firstLine="540"/>
        <w:jc w:val="both"/>
      </w:pPr>
      <w:r>
        <w:rPr>
          <w:sz w:val="24"/>
        </w:rPr>
        <w:t xml:space="preserve">5. Маркировка средств огнезащиты, наносимая производителями на продукцию, может содержать только сведения, подтвержденные при сертификации.</w:t>
      </w:r>
    </w:p>
    <w:p>
      <w:pPr>
        <w:pStyle w:val="0"/>
        <w:ind w:firstLine="540"/>
        <w:jc w:val="both"/>
      </w:pPr>
      <w:r>
        <w:rPr>
          <w:sz w:val="24"/>
        </w:rPr>
      </w:r>
    </w:p>
    <w:p>
      <w:pPr>
        <w:pStyle w:val="2"/>
        <w:outlineLvl w:val="1"/>
        <w:jc w:val="center"/>
      </w:pPr>
      <w:r>
        <w:rPr>
          <w:sz w:val="24"/>
        </w:rPr>
        <w:t xml:space="preserve">Раздел VIII. ЗАКЛЮЧИТЕЛЬНЫЕ ПОЛОЖЕНИЯ</w:t>
      </w:r>
    </w:p>
    <w:p>
      <w:pPr>
        <w:pStyle w:val="0"/>
        <w:jc w:val="center"/>
      </w:pPr>
      <w:r>
        <w:rPr>
          <w:sz w:val="24"/>
        </w:rPr>
      </w:r>
    </w:p>
    <w:p>
      <w:pPr>
        <w:pStyle w:val="2"/>
        <w:outlineLvl w:val="2"/>
        <w:jc w:val="center"/>
      </w:pPr>
      <w:r>
        <w:rPr>
          <w:sz w:val="24"/>
        </w:rPr>
        <w:t xml:space="preserve">Глава 34. ЗАКЛЮЧИТЕЛЬНЫЕ ПОЛОЖЕНИЯ</w:t>
      </w:r>
    </w:p>
    <w:p>
      <w:pPr>
        <w:pStyle w:val="0"/>
        <w:jc w:val="center"/>
      </w:pPr>
      <w:r>
        <w:rPr>
          <w:sz w:val="24"/>
        </w:rPr>
      </w:r>
    </w:p>
    <w:p>
      <w:pPr>
        <w:pStyle w:val="2"/>
        <w:outlineLvl w:val="3"/>
        <w:ind w:firstLine="540"/>
        <w:jc w:val="both"/>
      </w:pPr>
      <w:r>
        <w:rPr>
          <w:sz w:val="24"/>
        </w:rPr>
        <w:t xml:space="preserve">Статья 151. Заключительные положения</w:t>
      </w:r>
    </w:p>
    <w:p>
      <w:pPr>
        <w:pStyle w:val="0"/>
        <w:ind w:firstLine="540"/>
        <w:jc w:val="both"/>
      </w:pPr>
      <w:r>
        <w:rPr>
          <w:sz w:val="24"/>
        </w:rPr>
      </w:r>
    </w:p>
    <w:p>
      <w:pPr>
        <w:pStyle w:val="0"/>
        <w:ind w:firstLine="540"/>
        <w:jc w:val="both"/>
      </w:pPr>
      <w:r>
        <w:rPr>
          <w:sz w:val="24"/>
        </w:rPr>
        <w:t xml:space="preserve">1. Утратил силу. - Федеральный </w:t>
      </w:r>
      <w:r>
        <w:rPr>
          <w:sz w:val="24"/>
        </w:rPr>
        <w:t xml:space="preserve">закон</w:t>
      </w:r>
      <w:r>
        <w:rPr>
          <w:sz w:val="24"/>
        </w:rPr>
        <w:t xml:space="preserve"> от 29.07.2017 N 244-ФЗ.</w:t>
      </w:r>
    </w:p>
    <w:p>
      <w:pPr>
        <w:pStyle w:val="0"/>
        <w:spacing w:before="240" w:line-rule="auto"/>
        <w:ind w:firstLine="540"/>
        <w:jc w:val="both"/>
      </w:pPr>
      <w:r>
        <w:rPr>
          <w:sz w:val="24"/>
        </w:rPr>
        <w:t xml:space="preserve">2. До дня вступления в силу соответствующих технических регламентов схема декларирования соответствия продукции требованиям пожарной безопасности на основе собственных доказательств применяется для продукции общего назначения только изготовителями или юридическими лицами, выполняющими функции иностранного изготовителя.</w:t>
      </w:r>
    </w:p>
    <w:p>
      <w:pPr>
        <w:pStyle w:val="0"/>
        <w:spacing w:before="240" w:line-rule="auto"/>
        <w:ind w:firstLine="540"/>
        <w:jc w:val="both"/>
      </w:pPr>
      <w:r>
        <w:rPr>
          <w:sz w:val="24"/>
        </w:rPr>
        <w:t xml:space="preserve">3. Документы об аккредитации, выданные в установленном порядке органам, осуществляющим сертификацию, испытательным лабораториям (центрам) до дня вступления в силу настоящего Федерального закона, а также документы, подтверждающие соответствие продукции требованиям пожарной безопасности, принятые до дня вступления в силу настоящего Федерального закона, считаются действительными до окончания установленного в них срока.</w:t>
      </w:r>
    </w:p>
    <w:p>
      <w:pPr>
        <w:pStyle w:val="0"/>
        <w:ind w:firstLine="540"/>
        <w:jc w:val="both"/>
      </w:pPr>
      <w:r>
        <w:rPr>
          <w:sz w:val="24"/>
        </w:rPr>
      </w:r>
    </w:p>
    <w:p>
      <w:pPr>
        <w:pStyle w:val="2"/>
        <w:outlineLvl w:val="3"/>
        <w:ind w:firstLine="540"/>
        <w:jc w:val="both"/>
      </w:pPr>
      <w:r>
        <w:rPr>
          <w:sz w:val="24"/>
        </w:rPr>
        <w:t xml:space="preserve">Статья 152.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по истечении девяти месяцев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22 июля 2008 года</w:t>
      </w:r>
    </w:p>
    <w:p>
      <w:pPr>
        <w:pStyle w:val="0"/>
        <w:spacing w:before="240" w:line-rule="auto"/>
      </w:pPr>
      <w:r>
        <w:rPr>
          <w:sz w:val="24"/>
        </w:rPr>
        <w:t xml:space="preserve">N 123-ФЗ</w:t>
      </w:r>
    </w:p>
    <w:p>
      <w:pPr>
        <w:pStyle w:val="0"/>
      </w:pPr>
      <w:r>
        <w:rPr>
          <w:sz w:val="24"/>
        </w:rPr>
      </w:r>
    </w:p>
    <w:p>
      <w:pPr>
        <w:pStyle w:val="0"/>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Федеральному закону</w:t>
      </w:r>
    </w:p>
    <w:p>
      <w:pPr>
        <w:pStyle w:val="0"/>
        <w:jc w:val="right"/>
      </w:pPr>
      <w:r>
        <w:rPr>
          <w:sz w:val="24"/>
        </w:rPr>
        <w:t xml:space="preserve">"Технический регламент о требованиях</w:t>
      </w:r>
    </w:p>
    <w:p>
      <w:pPr>
        <w:pStyle w:val="0"/>
        <w:jc w:val="right"/>
      </w:pPr>
      <w:r>
        <w:rPr>
          <w:sz w:val="24"/>
        </w:rPr>
        <w:t xml:space="preserve">пожарной безопасности"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10.07.2012 </w:t>
            </w:r>
            <w:r>
              <w:rPr>
                <w:sz w:val="24"/>
                <w:color w:val="392c69"/>
              </w:rPr>
              <w:t xml:space="preserve">N 117-ФЗ</w:t>
            </w:r>
            <w:r>
              <w:rPr>
                <w:sz w:val="24"/>
                <w:color w:val="392c69"/>
              </w:rPr>
              <w:t xml:space="preserve">,</w:t>
            </w:r>
          </w:p>
          <w:p>
            <w:pPr>
              <w:pStyle w:val="0"/>
              <w:jc w:val="center"/>
            </w:pPr>
            <w:r>
              <w:rPr>
                <w:sz w:val="24"/>
                <w:color w:val="392c69"/>
              </w:rPr>
              <w:t xml:space="preserve">от 29.07.2017 </w:t>
            </w:r>
            <w:r>
              <w:rPr>
                <w:sz w:val="24"/>
                <w:color w:val="392c69"/>
              </w:rPr>
              <w:t xml:space="preserve">N 244-ФЗ</w:t>
            </w:r>
            <w:r>
              <w:rPr>
                <w:sz w:val="24"/>
                <w:color w:val="392c69"/>
              </w:rPr>
              <w:t xml:space="preserve">, от 27.12.2018 </w:t>
            </w:r>
            <w:r>
              <w:rPr>
                <w:sz w:val="24"/>
                <w:color w:val="392c69"/>
              </w:rPr>
              <w:t xml:space="preserve">N 538-ФЗ</w:t>
            </w:r>
            <w:r>
              <w:rPr>
                <w:sz w:val="24"/>
                <w:color w:val="392c69"/>
              </w:rPr>
              <w:t xml:space="preserve">, от 14.07.2022 </w:t>
            </w:r>
            <w:r>
              <w:rPr>
                <w:sz w:val="24"/>
                <w:color w:val="392c69"/>
              </w:rPr>
              <w:t xml:space="preserve">N 276-ФЗ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1"/>
        <w:jc w:val="center"/>
      </w:pPr>
      <w:r>
        <w:rPr>
          <w:sz w:val="24"/>
        </w:rPr>
        <w:t xml:space="preserve">Таблица 1</w:t>
      </w:r>
    </w:p>
    <w:p>
      <w:pPr>
        <w:pStyle w:val="0"/>
        <w:jc w:val="right"/>
      </w:pPr>
      <w:r>
        <w:rPr>
          <w:sz w:val="24"/>
        </w:rPr>
      </w:r>
    </w:p>
    <w:bookmarkStart w:id="2006" w:name="P2006"/>
    <w:bookmarkEnd w:id="2006"/>
    <w:p>
      <w:pPr>
        <w:pStyle w:val="2"/>
        <w:jc w:val="center"/>
      </w:pPr>
      <w:r>
        <w:rPr>
          <w:sz w:val="24"/>
        </w:rPr>
        <w:t xml:space="preserve">Перечень показателей для оценки</w:t>
      </w:r>
    </w:p>
    <w:p>
      <w:pPr>
        <w:pStyle w:val="2"/>
        <w:jc w:val="center"/>
      </w:pPr>
      <w:r>
        <w:rPr>
          <w:sz w:val="24"/>
        </w:rPr>
        <w:t xml:space="preserve">пожарной опасности веществ и материалов в зависимости</w:t>
      </w:r>
    </w:p>
    <w:p>
      <w:pPr>
        <w:pStyle w:val="2"/>
        <w:jc w:val="center"/>
      </w:pPr>
      <w:r>
        <w:rPr>
          <w:sz w:val="24"/>
        </w:rPr>
        <w:t xml:space="preserve">от их агрегатного состояния</w:t>
      </w:r>
    </w:p>
    <w:p>
      <w:pPr>
        <w:pStyle w:val="0"/>
        <w:jc w:val="center"/>
      </w:pPr>
      <w:r>
        <w:rPr>
          <w:sz w:val="24"/>
        </w:rPr>
        <w:t xml:space="preserve">(в ред. Федерального </w:t>
      </w:r>
      <w:r>
        <w:rPr>
          <w:sz w:val="24"/>
        </w:rPr>
        <w:t xml:space="preserve">закона</w:t>
      </w:r>
      <w:r>
        <w:rPr>
          <w:sz w:val="24"/>
        </w:rPr>
        <w:t xml:space="preserve"> от 14.07.2022 N 276-ФЗ)</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32"/>
        <w:gridCol w:w="1960"/>
        <w:gridCol w:w="1163"/>
        <w:gridCol w:w="1280"/>
        <w:gridCol w:w="929"/>
      </w:tblGrid>
      <w:tr>
        <w:tc>
          <w:tcPr>
            <w:tcW w:w="3632" w:type="dxa"/>
            <w:vMerge w:val="restart"/>
          </w:tcPr>
          <w:p>
            <w:pPr>
              <w:pStyle w:val="0"/>
              <w:jc w:val="center"/>
            </w:pPr>
            <w:r>
              <w:rPr>
                <w:sz w:val="24"/>
              </w:rPr>
              <w:t xml:space="preserve">Показатель пожарной опасности</w:t>
            </w:r>
          </w:p>
        </w:tc>
        <w:tc>
          <w:tcPr>
            <w:gridSpan w:val="3"/>
            <w:tcW w:w="4403" w:type="dxa"/>
          </w:tcPr>
          <w:p>
            <w:pPr>
              <w:pStyle w:val="0"/>
              <w:jc w:val="center"/>
            </w:pPr>
            <w:r>
              <w:rPr>
                <w:sz w:val="24"/>
              </w:rPr>
              <w:t xml:space="preserve">Вещества и материалы в различном агрегатном состоянии</w:t>
            </w:r>
          </w:p>
        </w:tc>
        <w:tc>
          <w:tcPr>
            <w:tcW w:w="929" w:type="dxa"/>
            <w:vMerge w:val="restart"/>
          </w:tcPr>
          <w:p>
            <w:pPr>
              <w:pStyle w:val="0"/>
              <w:jc w:val="center"/>
            </w:pPr>
            <w:r>
              <w:rPr>
                <w:sz w:val="24"/>
              </w:rPr>
              <w:t xml:space="preserve">Пыли</w:t>
            </w:r>
          </w:p>
        </w:tc>
      </w:tr>
      <w:tr>
        <w:tc>
          <w:tcPr>
            <w:vMerge w:val="continue"/>
          </w:tcPr>
          <w:p/>
        </w:tc>
        <w:tc>
          <w:tcPr>
            <w:tcW w:w="1960" w:type="dxa"/>
          </w:tcPr>
          <w:p>
            <w:pPr>
              <w:pStyle w:val="0"/>
              <w:jc w:val="center"/>
            </w:pPr>
            <w:r>
              <w:rPr>
                <w:sz w:val="24"/>
              </w:rPr>
              <w:t xml:space="preserve">газообразные</w:t>
            </w:r>
          </w:p>
        </w:tc>
        <w:tc>
          <w:tcPr>
            <w:tcW w:w="1163" w:type="dxa"/>
          </w:tcPr>
          <w:p>
            <w:pPr>
              <w:pStyle w:val="0"/>
              <w:jc w:val="center"/>
            </w:pPr>
            <w:r>
              <w:rPr>
                <w:sz w:val="24"/>
              </w:rPr>
              <w:t xml:space="preserve">жидкие</w:t>
            </w:r>
          </w:p>
        </w:tc>
        <w:tc>
          <w:tcPr>
            <w:tcW w:w="1280" w:type="dxa"/>
          </w:tcPr>
          <w:p>
            <w:pPr>
              <w:pStyle w:val="0"/>
              <w:jc w:val="center"/>
            </w:pPr>
            <w:r>
              <w:rPr>
                <w:sz w:val="24"/>
              </w:rPr>
              <w:t xml:space="preserve">твердые</w:t>
            </w:r>
          </w:p>
        </w:tc>
        <w:tc>
          <w:tcPr>
            <w:vMerge w:val="continue"/>
          </w:tcPr>
          <w:p/>
        </w:tc>
      </w:tr>
      <w:tr>
        <w:tc>
          <w:tcPr>
            <w:tcW w:w="3632" w:type="dxa"/>
          </w:tcPr>
          <w:p>
            <w:pPr>
              <w:pStyle w:val="0"/>
            </w:pPr>
            <w:r>
              <w:rPr>
                <w:sz w:val="24"/>
              </w:rPr>
              <w:t xml:space="preserve">Безопасный экспериментальный максимальный зазор, миллиметр</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Выделение токсичных продуктов горения с единицы массы горючего, килограмм на килограмм</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Группа воспламеняемости</w:t>
            </w:r>
          </w:p>
        </w:tc>
        <w:tc>
          <w:tcPr>
            <w:tcW w:w="1960" w:type="dxa"/>
          </w:tcPr>
          <w:p>
            <w:pPr>
              <w:pStyle w:val="0"/>
              <w:jc w:val="center"/>
            </w:pPr>
            <w:r>
              <w:rPr>
                <w:sz w:val="24"/>
              </w:rPr>
              <w:t xml:space="preserve">-</w:t>
            </w:r>
          </w:p>
        </w:tc>
        <w:tc>
          <w:tcPr>
            <w:tcW w:w="1163" w:type="dxa"/>
          </w:tcPr>
          <w:p>
            <w:pPr>
              <w:pStyle w:val="0"/>
              <w:jc w:val="center"/>
            </w:pPr>
            <w:r>
              <w:rPr>
                <w:sz w:val="24"/>
              </w:rPr>
              <w:t xml:space="preserve">-</w:t>
            </w:r>
          </w:p>
        </w:tc>
        <w:tc>
          <w:tcPr>
            <w:tcW w:w="1280" w:type="dxa"/>
          </w:tcPr>
          <w:p>
            <w:pPr>
              <w:pStyle w:val="0"/>
              <w:jc w:val="center"/>
            </w:pPr>
            <w:r>
              <w:rPr>
                <w:sz w:val="24"/>
              </w:rPr>
              <w:t xml:space="preserve">+</w:t>
            </w:r>
          </w:p>
        </w:tc>
        <w:tc>
          <w:tcPr>
            <w:tcW w:w="929" w:type="dxa"/>
          </w:tcPr>
          <w:p>
            <w:pPr>
              <w:pStyle w:val="0"/>
              <w:jc w:val="center"/>
            </w:pPr>
            <w:r>
              <w:rPr>
                <w:sz w:val="24"/>
              </w:rPr>
              <w:t xml:space="preserve">-</w:t>
            </w:r>
          </w:p>
        </w:tc>
      </w:tr>
      <w:tr>
        <w:tc>
          <w:tcPr>
            <w:tcW w:w="3632" w:type="dxa"/>
          </w:tcPr>
          <w:p>
            <w:pPr>
              <w:pStyle w:val="0"/>
            </w:pPr>
            <w:r>
              <w:rPr>
                <w:sz w:val="24"/>
              </w:rPr>
              <w:t xml:space="preserve">Группа горючести</w:t>
            </w:r>
          </w:p>
        </w:tc>
        <w:tc>
          <w:tcPr>
            <w:tcW w:w="1960" w:type="dxa"/>
          </w:tcPr>
          <w:p>
            <w:pPr>
              <w:pStyle w:val="0"/>
              <w:jc w:val="center"/>
            </w:pPr>
            <w:r>
              <w:rPr>
                <w:sz w:val="24"/>
              </w:rPr>
              <w:t xml:space="preserve">+</w:t>
            </w:r>
          </w:p>
        </w:tc>
        <w:tc>
          <w:tcPr>
            <w:tcW w:w="1163" w:type="dxa"/>
          </w:tcPr>
          <w:p>
            <w:pPr>
              <w:pStyle w:val="0"/>
              <w:jc w:val="center"/>
            </w:pPr>
            <w:r>
              <w:rPr>
                <w:sz w:val="24"/>
              </w:rPr>
              <w:t xml:space="preserve">+</w:t>
            </w:r>
          </w:p>
        </w:tc>
        <w:tc>
          <w:tcPr>
            <w:tcW w:w="1280" w:type="dxa"/>
          </w:tcPr>
          <w:p>
            <w:pPr>
              <w:pStyle w:val="0"/>
              <w:jc w:val="center"/>
            </w:pPr>
            <w:r>
              <w:rPr>
                <w:sz w:val="24"/>
              </w:rPr>
              <w:t xml:space="preserve">+</w:t>
            </w:r>
          </w:p>
        </w:tc>
        <w:tc>
          <w:tcPr>
            <w:tcW w:w="929" w:type="dxa"/>
          </w:tcPr>
          <w:p>
            <w:pPr>
              <w:pStyle w:val="0"/>
              <w:jc w:val="center"/>
            </w:pPr>
            <w:r>
              <w:rPr>
                <w:sz w:val="24"/>
              </w:rPr>
              <w:t xml:space="preserve">+</w:t>
            </w:r>
          </w:p>
        </w:tc>
      </w:tr>
      <w:tr>
        <w:tc>
          <w:tcPr>
            <w:tcW w:w="3632" w:type="dxa"/>
          </w:tcPr>
          <w:p>
            <w:pPr>
              <w:pStyle w:val="0"/>
            </w:pPr>
            <w:r>
              <w:rPr>
                <w:sz w:val="24"/>
              </w:rPr>
              <w:t xml:space="preserve">Группа распространения пламени</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Коэффициент дымообразования, квадратный метр на килограмм</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Излучающая способность пламени</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Индекс пожаровзрывоопасности, паскаль на метр в секунду</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Индекс распространения пламени</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Кислородный индекс, объемные проценты</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Концентрационные пределы распространения пламени (воспламенения) в газах и парах, объемные проценты, пылях, килограмм на кубический метр</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Концентрационный предел диффузионного горения газовых смесей в воздухе, объемные проценты</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Критическая поверхностная плотность теплового потока, ватт на квадратный метр</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Линейная скорость распространения пламени, метр в секунду</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Максимальная скорость распространения пламени вдоль поверхности горючей жидкости, метр в секунду</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Максимальное давление взрыва, паскаль</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Минимальная флегматизирующая концентрация газообразного флегматизатора, объемные проценты</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Минимальная энергия зажигания, джоуль</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Минимальное взрывоопасное содержание кислорода, объемные проценты</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Низшая рабочая теплота сгорания, килоджоуль на килограмм</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Нормальная скорость распространения пламени, метр в секунду</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Показатель токсичности продуктов горения, грамм на кубический метр</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Потребление кислорода на единицу массы горючего, килограмм на килограмм</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Предельная скорость срыва диффузионного факела, метр в секунду</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Скорость нарастания давления взрыва, мегапаскаль в секунду</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Способность гореть при взаимодействии с водой, кислородом воздуха и другими веществами</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Способность к воспламенению при адиабатическом сжатии</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Способность к самовозгоранию</w:t>
            </w:r>
          </w:p>
        </w:tc>
        <w:tc>
          <w:tcPr>
            <w:tcW w:w="1960" w:type="dxa"/>
          </w:tcPr>
          <w:p>
            <w:pPr>
              <w:pStyle w:val="0"/>
              <w:jc w:val="center"/>
            </w:pPr>
            <w:r>
              <w:rPr>
                <w:sz w:val="24"/>
              </w:rPr>
              <w:t xml:space="preserve">-</w:t>
            </w:r>
          </w:p>
        </w:tc>
        <w:tc>
          <w:tcPr>
            <w:tcW w:w="1163" w:type="dxa"/>
          </w:tcPr>
          <w:p>
            <w:pPr>
              <w:pStyle w:val="0"/>
              <w:jc w:val="center"/>
            </w:pPr>
            <w:r>
              <w:rPr>
                <w:sz w:val="24"/>
              </w:rPr>
              <w:t xml:space="preserve">-</w:t>
            </w:r>
          </w:p>
        </w:tc>
        <w:tc>
          <w:tcPr>
            <w:tcW w:w="1280" w:type="dxa"/>
          </w:tcPr>
          <w:p>
            <w:pPr>
              <w:pStyle w:val="0"/>
              <w:jc w:val="center"/>
            </w:pPr>
            <w:r>
              <w:rPr>
                <w:sz w:val="24"/>
              </w:rPr>
              <w:t xml:space="preserve">+</w:t>
            </w:r>
          </w:p>
        </w:tc>
        <w:tc>
          <w:tcPr>
            <w:tcW w:w="929" w:type="dxa"/>
          </w:tcPr>
          <w:p>
            <w:pPr>
              <w:pStyle w:val="0"/>
              <w:jc w:val="center"/>
            </w:pPr>
            <w:r>
              <w:rPr>
                <w:sz w:val="24"/>
              </w:rPr>
              <w:t xml:space="preserve">+</w:t>
            </w:r>
          </w:p>
        </w:tc>
      </w:tr>
      <w:tr>
        <w:tc>
          <w:tcPr>
            <w:tcW w:w="3632" w:type="dxa"/>
          </w:tcPr>
          <w:p>
            <w:pPr>
              <w:pStyle w:val="0"/>
            </w:pPr>
            <w:r>
              <w:rPr>
                <w:sz w:val="24"/>
              </w:rPr>
              <w:t xml:space="preserve">Способность к экзотермическому разложению</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Температура воспламенения, градус Цельсия</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Температура вспышки, градус Цельсия</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Температура самовоспламенения, градус Цельсия</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Температура тления, градус Цельсия</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Температурные пределы распространения пламени (воспламенения), градус Цельсия</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Удельная массовая скорость выгорания, килограмм в секунду на квадратный метр</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r>
        <w:tc>
          <w:tcPr>
            <w:tcW w:w="3632" w:type="dxa"/>
          </w:tcPr>
          <w:p>
            <w:pPr>
              <w:pStyle w:val="0"/>
            </w:pPr>
            <w:r>
              <w:rPr>
                <w:sz w:val="24"/>
              </w:rPr>
              <w:t xml:space="preserve">Удельная теплота сгорания, джоуль на килограмм</w:t>
            </w:r>
          </w:p>
        </w:tc>
        <w:tc>
          <w:tcPr>
            <w:tcW w:w="1960" w:type="dxa"/>
            <w:vAlign w:val="bottom"/>
          </w:tcPr>
          <w:p>
            <w:pPr>
              <w:pStyle w:val="0"/>
              <w:jc w:val="center"/>
            </w:pPr>
            <w:r>
              <w:rPr>
                <w:sz w:val="24"/>
              </w:rPr>
              <w:t xml:space="preserve">+</w:t>
            </w:r>
          </w:p>
        </w:tc>
        <w:tc>
          <w:tcPr>
            <w:tcW w:w="1163" w:type="dxa"/>
            <w:vAlign w:val="bottom"/>
          </w:tcPr>
          <w:p>
            <w:pPr>
              <w:pStyle w:val="0"/>
              <w:jc w:val="center"/>
            </w:pPr>
            <w:r>
              <w:rPr>
                <w:sz w:val="24"/>
              </w:rPr>
              <w:t xml:space="preserve">+</w:t>
            </w:r>
          </w:p>
        </w:tc>
        <w:tc>
          <w:tcPr>
            <w:tcW w:w="1280" w:type="dxa"/>
            <w:vAlign w:val="bottom"/>
          </w:tcPr>
          <w:p>
            <w:pPr>
              <w:pStyle w:val="0"/>
              <w:jc w:val="center"/>
            </w:pPr>
            <w:r>
              <w:rPr>
                <w:sz w:val="24"/>
              </w:rPr>
              <w:t xml:space="preserve">+</w:t>
            </w:r>
          </w:p>
        </w:tc>
        <w:tc>
          <w:tcPr>
            <w:tcW w:w="929" w:type="dxa"/>
            <w:vAlign w:val="bottom"/>
          </w:tcPr>
          <w:p>
            <w:pPr>
              <w:pStyle w:val="0"/>
              <w:jc w:val="center"/>
            </w:pPr>
            <w:r>
              <w:rPr>
                <w:sz w:val="24"/>
              </w:rPr>
              <w:t xml:space="preserve">+</w:t>
            </w:r>
          </w:p>
        </w:tc>
      </w:tr>
    </w:tbl>
    <w:p>
      <w:pPr>
        <w:pStyle w:val="0"/>
        <w:ind w:firstLine="540"/>
        <w:jc w:val="both"/>
      </w:pPr>
      <w:r>
        <w:rPr>
          <w:sz w:val="24"/>
        </w:rPr>
      </w:r>
    </w:p>
    <w:p>
      <w:pPr>
        <w:pStyle w:val="0"/>
        <w:ind w:firstLine="540"/>
        <w:jc w:val="both"/>
      </w:pPr>
      <w:r>
        <w:rPr>
          <w:sz w:val="24"/>
        </w:rPr>
        <w:t xml:space="preserve">Примечания: 1. Знак "+" обозначает, что показатель необходимо применять.</w:t>
      </w:r>
    </w:p>
    <w:p>
      <w:pPr>
        <w:pStyle w:val="0"/>
        <w:spacing w:before="240" w:line-rule="auto"/>
        <w:ind w:firstLine="540"/>
        <w:jc w:val="both"/>
      </w:pPr>
      <w:r>
        <w:rPr>
          <w:sz w:val="24"/>
        </w:rPr>
        <w:t xml:space="preserve">2. Знак "-" обозначает, что показатель не применяется.</w:t>
      </w:r>
    </w:p>
    <w:p>
      <w:pPr>
        <w:pStyle w:val="0"/>
        <w:ind w:firstLine="540"/>
        <w:jc w:val="both"/>
      </w:pPr>
      <w:r>
        <w:rPr>
          <w:sz w:val="24"/>
        </w:rPr>
      </w:r>
    </w:p>
    <w:p>
      <w:pPr>
        <w:pStyle w:val="0"/>
        <w:outlineLvl w:val="1"/>
        <w:ind w:firstLine="540"/>
        <w:jc w:val="both"/>
      </w:pPr>
      <w:r>
        <w:rPr>
          <w:sz w:val="24"/>
        </w:rPr>
        <w:t xml:space="preserve">Таблицы 2 - 3. Утратили силу. - Федеральный </w:t>
      </w:r>
      <w:r>
        <w:rPr>
          <w:sz w:val="24"/>
        </w:rPr>
        <w:t xml:space="preserve">закон</w:t>
      </w:r>
      <w:r>
        <w:rPr>
          <w:sz w:val="24"/>
        </w:rPr>
        <w:t xml:space="preserve"> от 14.07.2022 N 276-ФЗ.</w:t>
      </w:r>
    </w:p>
    <w:p>
      <w:pPr>
        <w:pStyle w:val="0"/>
        <w:ind w:firstLine="540"/>
        <w:jc w:val="both"/>
      </w:pPr>
      <w:r>
        <w:rPr>
          <w:sz w:val="24"/>
        </w:rPr>
      </w:r>
    </w:p>
    <w:p>
      <w:pPr>
        <w:pStyle w:val="0"/>
        <w:outlineLvl w:val="1"/>
        <w:jc w:val="center"/>
      </w:pPr>
      <w:r>
        <w:rPr>
          <w:sz w:val="24"/>
        </w:rPr>
        <w:t xml:space="preserve">Таблица 4</w:t>
      </w:r>
    </w:p>
    <w:p>
      <w:pPr>
        <w:pStyle w:val="0"/>
        <w:jc w:val="right"/>
      </w:pPr>
      <w:r>
        <w:rPr>
          <w:sz w:val="24"/>
        </w:rPr>
      </w:r>
    </w:p>
    <w:bookmarkStart w:id="2205" w:name="P2205"/>
    <w:bookmarkEnd w:id="2205"/>
    <w:p>
      <w:pPr>
        <w:pStyle w:val="2"/>
        <w:jc w:val="center"/>
      </w:pPr>
      <w:r>
        <w:rPr>
          <w:sz w:val="24"/>
        </w:rPr>
        <w:t xml:space="preserve">Степень защиты пожарозащищенного электрооборудования</w:t>
      </w:r>
    </w:p>
    <w:p>
      <w:pPr>
        <w:pStyle w:val="2"/>
        <w:jc w:val="center"/>
      </w:pPr>
      <w:r>
        <w:rPr>
          <w:sz w:val="24"/>
        </w:rPr>
        <w:t xml:space="preserve">от внешних твердых предметов</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9"/>
        <w:gridCol w:w="7545"/>
      </w:tblGrid>
      <w:tr>
        <w:tc>
          <w:tcPr>
            <w:tcW w:w="1419" w:type="dxa"/>
          </w:tcPr>
          <w:p>
            <w:pPr>
              <w:pStyle w:val="0"/>
              <w:jc w:val="center"/>
            </w:pPr>
            <w:r>
              <w:rPr>
                <w:sz w:val="24"/>
              </w:rPr>
              <w:t xml:space="preserve">Первая цифра</w:t>
            </w:r>
          </w:p>
        </w:tc>
        <w:tc>
          <w:tcPr>
            <w:tcW w:w="7545" w:type="dxa"/>
          </w:tcPr>
          <w:p>
            <w:pPr>
              <w:pStyle w:val="0"/>
              <w:jc w:val="center"/>
            </w:pPr>
            <w:r>
              <w:rPr>
                <w:sz w:val="24"/>
              </w:rPr>
              <w:t xml:space="preserve">Краткое описание степени защиты</w:t>
            </w:r>
          </w:p>
        </w:tc>
      </w:tr>
      <w:tr>
        <w:tc>
          <w:tcPr>
            <w:tcW w:w="1419" w:type="dxa"/>
          </w:tcPr>
          <w:p>
            <w:pPr>
              <w:pStyle w:val="0"/>
              <w:jc w:val="center"/>
            </w:pPr>
            <w:r>
              <w:rPr>
                <w:sz w:val="24"/>
              </w:rPr>
              <w:t xml:space="preserve">0</w:t>
            </w:r>
          </w:p>
        </w:tc>
        <w:tc>
          <w:tcPr>
            <w:tcW w:w="7545" w:type="dxa"/>
          </w:tcPr>
          <w:p>
            <w:pPr>
              <w:pStyle w:val="0"/>
            </w:pPr>
            <w:r>
              <w:rPr>
                <w:sz w:val="24"/>
              </w:rPr>
              <w:t xml:space="preserve">нет защиты</w:t>
            </w:r>
          </w:p>
        </w:tc>
      </w:tr>
      <w:tr>
        <w:tc>
          <w:tcPr>
            <w:tcW w:w="1419" w:type="dxa"/>
          </w:tcPr>
          <w:p>
            <w:pPr>
              <w:pStyle w:val="0"/>
              <w:jc w:val="center"/>
            </w:pPr>
            <w:r>
              <w:rPr>
                <w:sz w:val="24"/>
              </w:rPr>
              <w:t xml:space="preserve">1</w:t>
            </w:r>
          </w:p>
        </w:tc>
        <w:tc>
          <w:tcPr>
            <w:tcW w:w="7545" w:type="dxa"/>
          </w:tcPr>
          <w:p>
            <w:pPr>
              <w:pStyle w:val="0"/>
            </w:pPr>
            <w:r>
              <w:rPr>
                <w:sz w:val="24"/>
              </w:rPr>
              <w:t xml:space="preserve">защищено от внешних твердых предметов диаметром 50 и более миллиметров</w:t>
            </w:r>
          </w:p>
        </w:tc>
      </w:tr>
      <w:tr>
        <w:tc>
          <w:tcPr>
            <w:tcW w:w="1419" w:type="dxa"/>
          </w:tcPr>
          <w:p>
            <w:pPr>
              <w:pStyle w:val="0"/>
              <w:jc w:val="center"/>
            </w:pPr>
            <w:r>
              <w:rPr>
                <w:sz w:val="24"/>
              </w:rPr>
              <w:t xml:space="preserve">2</w:t>
            </w:r>
          </w:p>
        </w:tc>
        <w:tc>
          <w:tcPr>
            <w:tcW w:w="7545" w:type="dxa"/>
          </w:tcPr>
          <w:p>
            <w:pPr>
              <w:pStyle w:val="0"/>
            </w:pPr>
            <w:r>
              <w:rPr>
                <w:sz w:val="24"/>
              </w:rPr>
              <w:t xml:space="preserve">защищено от внешних твердых предметов диаметром 12,5 и более миллиметра</w:t>
            </w:r>
          </w:p>
        </w:tc>
      </w:tr>
      <w:tr>
        <w:tc>
          <w:tcPr>
            <w:tcW w:w="1419" w:type="dxa"/>
          </w:tcPr>
          <w:p>
            <w:pPr>
              <w:pStyle w:val="0"/>
              <w:jc w:val="center"/>
            </w:pPr>
            <w:r>
              <w:rPr>
                <w:sz w:val="24"/>
              </w:rPr>
              <w:t xml:space="preserve">3</w:t>
            </w:r>
          </w:p>
        </w:tc>
        <w:tc>
          <w:tcPr>
            <w:tcW w:w="7545" w:type="dxa"/>
          </w:tcPr>
          <w:p>
            <w:pPr>
              <w:pStyle w:val="0"/>
            </w:pPr>
            <w:r>
              <w:rPr>
                <w:sz w:val="24"/>
              </w:rPr>
              <w:t xml:space="preserve">защищено от внешних твердых предметов диаметром 2,5 и более миллиметра</w:t>
            </w:r>
          </w:p>
        </w:tc>
      </w:tr>
      <w:tr>
        <w:tc>
          <w:tcPr>
            <w:tcW w:w="1419" w:type="dxa"/>
          </w:tcPr>
          <w:p>
            <w:pPr>
              <w:pStyle w:val="0"/>
              <w:jc w:val="center"/>
            </w:pPr>
            <w:r>
              <w:rPr>
                <w:sz w:val="24"/>
              </w:rPr>
              <w:t xml:space="preserve">4</w:t>
            </w:r>
          </w:p>
        </w:tc>
        <w:tc>
          <w:tcPr>
            <w:tcW w:w="7545" w:type="dxa"/>
          </w:tcPr>
          <w:p>
            <w:pPr>
              <w:pStyle w:val="0"/>
            </w:pPr>
            <w:r>
              <w:rPr>
                <w:sz w:val="24"/>
              </w:rPr>
              <w:t xml:space="preserve">защищено от внешних твердых предметов диаметром 1 и более миллиметра</w:t>
            </w:r>
          </w:p>
        </w:tc>
      </w:tr>
      <w:tr>
        <w:tc>
          <w:tcPr>
            <w:tcW w:w="1419" w:type="dxa"/>
          </w:tcPr>
          <w:p>
            <w:pPr>
              <w:pStyle w:val="0"/>
              <w:jc w:val="center"/>
            </w:pPr>
            <w:r>
              <w:rPr>
                <w:sz w:val="24"/>
              </w:rPr>
              <w:t xml:space="preserve">5</w:t>
            </w:r>
          </w:p>
        </w:tc>
        <w:tc>
          <w:tcPr>
            <w:tcW w:w="7545" w:type="dxa"/>
          </w:tcPr>
          <w:p>
            <w:pPr>
              <w:pStyle w:val="0"/>
            </w:pPr>
            <w:r>
              <w:rPr>
                <w:sz w:val="24"/>
              </w:rPr>
              <w:t xml:space="preserve">пылезащищено; защищено от проникновения пыли в количестве, нарушающем нормальную работу оборудования или снижающем его безопасность</w:t>
            </w:r>
          </w:p>
        </w:tc>
      </w:tr>
      <w:tr>
        <w:tc>
          <w:tcPr>
            <w:tcW w:w="1419" w:type="dxa"/>
          </w:tcPr>
          <w:p>
            <w:pPr>
              <w:pStyle w:val="0"/>
              <w:jc w:val="center"/>
            </w:pPr>
            <w:r>
              <w:rPr>
                <w:sz w:val="24"/>
              </w:rPr>
              <w:t xml:space="preserve">6</w:t>
            </w:r>
          </w:p>
        </w:tc>
        <w:tc>
          <w:tcPr>
            <w:tcW w:w="7545" w:type="dxa"/>
          </w:tcPr>
          <w:p>
            <w:pPr>
              <w:pStyle w:val="0"/>
            </w:pPr>
            <w:r>
              <w:rPr>
                <w:sz w:val="24"/>
              </w:rPr>
              <w:t xml:space="preserve">пыленепроницаемо; защищено от проникновения пыли</w:t>
            </w:r>
          </w:p>
        </w:tc>
      </w:tr>
    </w:tbl>
    <w:p>
      <w:pPr>
        <w:pStyle w:val="0"/>
        <w:ind w:firstLine="540"/>
        <w:jc w:val="both"/>
      </w:pPr>
      <w:r>
        <w:rPr>
          <w:sz w:val="24"/>
        </w:rPr>
      </w:r>
    </w:p>
    <w:p>
      <w:pPr>
        <w:pStyle w:val="0"/>
        <w:outlineLvl w:val="1"/>
        <w:jc w:val="center"/>
      </w:pPr>
      <w:r>
        <w:rPr>
          <w:sz w:val="24"/>
        </w:rPr>
        <w:t xml:space="preserve">Таблица 5</w:t>
      </w:r>
    </w:p>
    <w:p>
      <w:pPr>
        <w:pStyle w:val="0"/>
        <w:ind w:firstLine="540"/>
        <w:jc w:val="both"/>
      </w:pPr>
      <w:r>
        <w:rPr>
          <w:sz w:val="24"/>
        </w:rPr>
      </w:r>
    </w:p>
    <w:bookmarkStart w:id="2227" w:name="P2227"/>
    <w:bookmarkEnd w:id="2227"/>
    <w:p>
      <w:pPr>
        <w:pStyle w:val="2"/>
        <w:jc w:val="center"/>
      </w:pPr>
      <w:r>
        <w:rPr>
          <w:sz w:val="24"/>
        </w:rPr>
        <w:t xml:space="preserve">Степень защиты пожарозащищенного электрооборудования</w:t>
      </w:r>
    </w:p>
    <w:p>
      <w:pPr>
        <w:pStyle w:val="2"/>
        <w:jc w:val="center"/>
      </w:pPr>
      <w:r>
        <w:rPr>
          <w:sz w:val="24"/>
        </w:rPr>
        <w:t xml:space="preserve">от проникновения воды</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17"/>
        <w:gridCol w:w="7847"/>
      </w:tblGrid>
      <w:tr>
        <w:tc>
          <w:tcPr>
            <w:tcW w:w="1117" w:type="dxa"/>
          </w:tcPr>
          <w:p>
            <w:pPr>
              <w:pStyle w:val="0"/>
              <w:jc w:val="center"/>
            </w:pPr>
            <w:r>
              <w:rPr>
                <w:sz w:val="24"/>
              </w:rPr>
              <w:t xml:space="preserve">Вторая цифра</w:t>
            </w:r>
          </w:p>
        </w:tc>
        <w:tc>
          <w:tcPr>
            <w:tcW w:w="7847" w:type="dxa"/>
          </w:tcPr>
          <w:p>
            <w:pPr>
              <w:pStyle w:val="0"/>
              <w:jc w:val="center"/>
            </w:pPr>
            <w:r>
              <w:rPr>
                <w:sz w:val="24"/>
              </w:rPr>
              <w:t xml:space="preserve">Краткое описание степени защиты</w:t>
            </w:r>
          </w:p>
        </w:tc>
      </w:tr>
      <w:tr>
        <w:tc>
          <w:tcPr>
            <w:tcW w:w="1117" w:type="dxa"/>
          </w:tcPr>
          <w:p>
            <w:pPr>
              <w:pStyle w:val="0"/>
              <w:jc w:val="center"/>
            </w:pPr>
            <w:r>
              <w:rPr>
                <w:sz w:val="24"/>
              </w:rPr>
              <w:t xml:space="preserve">0</w:t>
            </w:r>
          </w:p>
        </w:tc>
        <w:tc>
          <w:tcPr>
            <w:tcW w:w="7847" w:type="dxa"/>
          </w:tcPr>
          <w:p>
            <w:pPr>
              <w:pStyle w:val="0"/>
            </w:pPr>
            <w:r>
              <w:rPr>
                <w:sz w:val="24"/>
              </w:rPr>
              <w:t xml:space="preserve">нет защиты</w:t>
            </w:r>
          </w:p>
        </w:tc>
      </w:tr>
      <w:tr>
        <w:tc>
          <w:tcPr>
            <w:tcW w:w="1117" w:type="dxa"/>
          </w:tcPr>
          <w:p>
            <w:pPr>
              <w:pStyle w:val="0"/>
              <w:jc w:val="center"/>
            </w:pPr>
            <w:r>
              <w:rPr>
                <w:sz w:val="24"/>
              </w:rPr>
              <w:t xml:space="preserve">1</w:t>
            </w:r>
          </w:p>
        </w:tc>
        <w:tc>
          <w:tcPr>
            <w:tcW w:w="7847" w:type="dxa"/>
          </w:tcPr>
          <w:p>
            <w:pPr>
              <w:pStyle w:val="0"/>
            </w:pPr>
            <w:r>
              <w:rPr>
                <w:sz w:val="24"/>
              </w:rPr>
              <w:t xml:space="preserve">защищено от вертикально падающих капель воды</w:t>
            </w:r>
          </w:p>
        </w:tc>
      </w:tr>
      <w:tr>
        <w:tc>
          <w:tcPr>
            <w:tcW w:w="1117" w:type="dxa"/>
          </w:tcPr>
          <w:p>
            <w:pPr>
              <w:pStyle w:val="0"/>
              <w:jc w:val="center"/>
            </w:pPr>
            <w:r>
              <w:rPr>
                <w:sz w:val="24"/>
              </w:rPr>
              <w:t xml:space="preserve">2</w:t>
            </w:r>
          </w:p>
        </w:tc>
        <w:tc>
          <w:tcPr>
            <w:tcW w:w="7847" w:type="dxa"/>
          </w:tcPr>
          <w:p>
            <w:pPr>
              <w:pStyle w:val="0"/>
            </w:pPr>
            <w:r>
              <w:rPr>
                <w:sz w:val="24"/>
              </w:rPr>
              <w:t xml:space="preserve">защищено от вертикально падающих капель воды, когда оболочка отклонена на угол не более 15 градусов</w:t>
            </w:r>
          </w:p>
        </w:tc>
      </w:tr>
      <w:tr>
        <w:tc>
          <w:tcPr>
            <w:tcW w:w="1117" w:type="dxa"/>
          </w:tcPr>
          <w:p>
            <w:pPr>
              <w:pStyle w:val="0"/>
              <w:jc w:val="center"/>
            </w:pPr>
            <w:r>
              <w:rPr>
                <w:sz w:val="24"/>
              </w:rPr>
              <w:t xml:space="preserve">3</w:t>
            </w:r>
          </w:p>
        </w:tc>
        <w:tc>
          <w:tcPr>
            <w:tcW w:w="7847" w:type="dxa"/>
          </w:tcPr>
          <w:p>
            <w:pPr>
              <w:pStyle w:val="0"/>
            </w:pPr>
            <w:r>
              <w:rPr>
                <w:sz w:val="24"/>
              </w:rPr>
              <w:t xml:space="preserve">защищено от воды, падающей в виде дождя под углом не более 60 градусов</w:t>
            </w:r>
          </w:p>
        </w:tc>
      </w:tr>
      <w:tr>
        <w:tc>
          <w:tcPr>
            <w:tcW w:w="1117" w:type="dxa"/>
          </w:tcPr>
          <w:p>
            <w:pPr>
              <w:pStyle w:val="0"/>
              <w:jc w:val="center"/>
            </w:pPr>
            <w:r>
              <w:rPr>
                <w:sz w:val="24"/>
              </w:rPr>
              <w:t xml:space="preserve">4</w:t>
            </w:r>
          </w:p>
        </w:tc>
        <w:tc>
          <w:tcPr>
            <w:tcW w:w="7847" w:type="dxa"/>
          </w:tcPr>
          <w:p>
            <w:pPr>
              <w:pStyle w:val="0"/>
            </w:pPr>
            <w:r>
              <w:rPr>
                <w:sz w:val="24"/>
              </w:rPr>
              <w:t xml:space="preserve">защищено от сплошного обрызгивания любого направления</w:t>
            </w:r>
          </w:p>
        </w:tc>
      </w:tr>
      <w:tr>
        <w:tc>
          <w:tcPr>
            <w:tcW w:w="1117" w:type="dxa"/>
          </w:tcPr>
          <w:p>
            <w:pPr>
              <w:pStyle w:val="0"/>
              <w:jc w:val="center"/>
            </w:pPr>
            <w:r>
              <w:rPr>
                <w:sz w:val="24"/>
              </w:rPr>
              <w:t xml:space="preserve">5</w:t>
            </w:r>
          </w:p>
        </w:tc>
        <w:tc>
          <w:tcPr>
            <w:tcW w:w="7847" w:type="dxa"/>
          </w:tcPr>
          <w:p>
            <w:pPr>
              <w:pStyle w:val="0"/>
            </w:pPr>
            <w:r>
              <w:rPr>
                <w:sz w:val="24"/>
              </w:rPr>
              <w:t xml:space="preserve">защищено от водяных струй из сопла с внутренним диаметром 6,3 миллиметра</w:t>
            </w:r>
          </w:p>
        </w:tc>
      </w:tr>
      <w:tr>
        <w:tc>
          <w:tcPr>
            <w:tcW w:w="1117" w:type="dxa"/>
          </w:tcPr>
          <w:p>
            <w:pPr>
              <w:pStyle w:val="0"/>
              <w:jc w:val="center"/>
            </w:pPr>
            <w:r>
              <w:rPr>
                <w:sz w:val="24"/>
              </w:rPr>
              <w:t xml:space="preserve">6</w:t>
            </w:r>
          </w:p>
        </w:tc>
        <w:tc>
          <w:tcPr>
            <w:tcW w:w="7847" w:type="dxa"/>
          </w:tcPr>
          <w:p>
            <w:pPr>
              <w:pStyle w:val="0"/>
            </w:pPr>
            <w:r>
              <w:rPr>
                <w:sz w:val="24"/>
              </w:rPr>
              <w:t xml:space="preserve">защищено от водяных струй из сопла с внутренним диаметром 12,5 миллиметра</w:t>
            </w:r>
          </w:p>
        </w:tc>
      </w:tr>
      <w:tr>
        <w:tc>
          <w:tcPr>
            <w:tcW w:w="1117" w:type="dxa"/>
          </w:tcPr>
          <w:p>
            <w:pPr>
              <w:pStyle w:val="0"/>
              <w:jc w:val="center"/>
            </w:pPr>
            <w:r>
              <w:rPr>
                <w:sz w:val="24"/>
              </w:rPr>
              <w:t xml:space="preserve">7</w:t>
            </w:r>
          </w:p>
        </w:tc>
        <w:tc>
          <w:tcPr>
            <w:tcW w:w="7847" w:type="dxa"/>
          </w:tcPr>
          <w:p>
            <w:pPr>
              <w:pStyle w:val="0"/>
            </w:pPr>
            <w:r>
              <w:rPr>
                <w:sz w:val="24"/>
              </w:rPr>
              <w:t xml:space="preserve">защищено от воздействия при погружении в воду не более чем на 30 минут</w:t>
            </w:r>
          </w:p>
        </w:tc>
      </w:tr>
      <w:tr>
        <w:tc>
          <w:tcPr>
            <w:tcW w:w="1117" w:type="dxa"/>
          </w:tcPr>
          <w:p>
            <w:pPr>
              <w:pStyle w:val="0"/>
              <w:jc w:val="center"/>
            </w:pPr>
            <w:r>
              <w:rPr>
                <w:sz w:val="24"/>
              </w:rPr>
              <w:t xml:space="preserve">8</w:t>
            </w:r>
          </w:p>
        </w:tc>
        <w:tc>
          <w:tcPr>
            <w:tcW w:w="7847" w:type="dxa"/>
          </w:tcPr>
          <w:p>
            <w:pPr>
              <w:pStyle w:val="0"/>
            </w:pPr>
            <w:r>
              <w:rPr>
                <w:sz w:val="24"/>
              </w:rPr>
              <w:t xml:space="preserve">защищено от воздействия при погружении в воду более чем на 30 минут</w:t>
            </w:r>
          </w:p>
        </w:tc>
      </w:tr>
    </w:tbl>
    <w:p>
      <w:pPr>
        <w:pStyle w:val="0"/>
        <w:jc w:val="right"/>
      </w:pPr>
      <w:r>
        <w:rPr>
          <w:sz w:val="24"/>
        </w:rPr>
      </w:r>
    </w:p>
    <w:p>
      <w:pPr>
        <w:pStyle w:val="0"/>
        <w:outlineLvl w:val="1"/>
        <w:jc w:val="center"/>
      </w:pPr>
      <w:r>
        <w:rPr>
          <w:sz w:val="24"/>
        </w:rPr>
        <w:t xml:space="preserve">Таблица 6</w:t>
      </w:r>
    </w:p>
    <w:p>
      <w:pPr>
        <w:pStyle w:val="0"/>
        <w:jc w:val="right"/>
      </w:pPr>
      <w:r>
        <w:rPr>
          <w:sz w:val="24"/>
        </w:rPr>
      </w:r>
    </w:p>
    <w:p>
      <w:pPr>
        <w:pStyle w:val="2"/>
        <w:jc w:val="center"/>
      </w:pPr>
      <w:r>
        <w:rPr>
          <w:sz w:val="24"/>
        </w:rPr>
        <w:t xml:space="preserve">Порядок определения класса пожарной опасности</w:t>
      </w:r>
    </w:p>
    <w:p>
      <w:pPr>
        <w:pStyle w:val="2"/>
        <w:jc w:val="center"/>
      </w:pPr>
      <w:r>
        <w:rPr>
          <w:sz w:val="24"/>
        </w:rPr>
        <w:t xml:space="preserve">строительных конструкций</w:t>
      </w:r>
    </w:p>
    <w:p>
      <w:pPr>
        <w:pStyle w:val="0"/>
        <w:jc w:val="right"/>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29.07.2017 N 244-ФЗ.</w:t>
      </w:r>
    </w:p>
    <w:p>
      <w:pPr>
        <w:pStyle w:val="0"/>
        <w:ind w:firstLine="540"/>
        <w:jc w:val="both"/>
      </w:pPr>
      <w:r>
        <w:rPr>
          <w:sz w:val="24"/>
        </w:rPr>
      </w:r>
    </w:p>
    <w:p>
      <w:pPr>
        <w:pStyle w:val="0"/>
        <w:outlineLvl w:val="1"/>
        <w:ind w:firstLine="540"/>
        <w:jc w:val="both"/>
      </w:pPr>
      <w:r>
        <w:rPr>
          <w:sz w:val="24"/>
        </w:rPr>
        <w:t xml:space="preserve">Таблицы 7 - 11. Утратили силу. - Федеральный </w:t>
      </w:r>
      <w:r>
        <w:rPr>
          <w:sz w:val="24"/>
        </w:rPr>
        <w:t xml:space="preserve">закон</w:t>
      </w:r>
      <w:r>
        <w:rPr>
          <w:sz w:val="24"/>
        </w:rPr>
        <w:t xml:space="preserve"> от 10.07.2012 N 117-ФЗ.</w:t>
      </w:r>
    </w:p>
    <w:p>
      <w:pPr>
        <w:pStyle w:val="0"/>
        <w:ind w:firstLine="540"/>
        <w:jc w:val="both"/>
      </w:pPr>
      <w:r>
        <w:rPr>
          <w:sz w:val="24"/>
        </w:rPr>
      </w:r>
    </w:p>
    <w:bookmarkStart w:id="2260" w:name="P2260"/>
    <w:bookmarkEnd w:id="2260"/>
    <w:p>
      <w:pPr>
        <w:pStyle w:val="0"/>
        <w:outlineLvl w:val="1"/>
        <w:jc w:val="center"/>
      </w:pPr>
      <w:r>
        <w:rPr>
          <w:sz w:val="24"/>
        </w:rPr>
        <w:t xml:space="preserve">Таблица 12</w:t>
      </w:r>
    </w:p>
    <w:p>
      <w:pPr>
        <w:pStyle w:val="0"/>
        <w:ind w:firstLine="540"/>
        <w:jc w:val="both"/>
      </w:pPr>
      <w:r>
        <w:rPr>
          <w:sz w:val="24"/>
        </w:rPr>
      </w:r>
    </w:p>
    <w:bookmarkStart w:id="2262" w:name="P2262"/>
    <w:bookmarkEnd w:id="2262"/>
    <w:p>
      <w:pPr>
        <w:pStyle w:val="2"/>
        <w:jc w:val="center"/>
      </w:pPr>
      <w:r>
        <w:rPr>
          <w:sz w:val="24"/>
        </w:rPr>
        <w:t xml:space="preserve">Противопожарные расстояния от зданий и сооружений</w:t>
      </w:r>
    </w:p>
    <w:p>
      <w:pPr>
        <w:pStyle w:val="2"/>
        <w:jc w:val="center"/>
      </w:pPr>
      <w:r>
        <w:rPr>
          <w:sz w:val="24"/>
        </w:rPr>
        <w:t xml:space="preserve">на территориях складов нефти и нефтепродуктов</w:t>
      </w:r>
    </w:p>
    <w:p>
      <w:pPr>
        <w:pStyle w:val="2"/>
        <w:jc w:val="center"/>
      </w:pPr>
      <w:r>
        <w:rPr>
          <w:sz w:val="24"/>
        </w:rPr>
        <w:t xml:space="preserve">до граничащих с ними объектов защиты</w:t>
      </w:r>
    </w:p>
    <w:p>
      <w:pPr>
        <w:pStyle w:val="0"/>
        <w:jc w:val="center"/>
      </w:pPr>
      <w:r>
        <w:rPr>
          <w:sz w:val="24"/>
        </w:rPr>
        <w:t xml:space="preserve">(в ред. Федерального </w:t>
      </w:r>
      <w:r>
        <w:rPr>
          <w:sz w:val="24"/>
        </w:rPr>
        <w:t xml:space="preserve">закона</w:t>
      </w:r>
      <w:r>
        <w:rPr>
          <w:sz w:val="24"/>
        </w:rPr>
        <w:t xml:space="preserve"> от 10.07.2012 N 117-ФЗ)</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96"/>
        <w:gridCol w:w="1041"/>
        <w:gridCol w:w="1053"/>
        <w:gridCol w:w="958"/>
        <w:gridCol w:w="958"/>
        <w:gridCol w:w="958"/>
      </w:tblGrid>
      <w:tr>
        <w:tc>
          <w:tcPr>
            <w:tcW w:w="3996" w:type="dxa"/>
            <w:vMerge w:val="restart"/>
          </w:tcPr>
          <w:p>
            <w:pPr>
              <w:pStyle w:val="0"/>
              <w:jc w:val="center"/>
            </w:pPr>
            <w:r>
              <w:rPr>
                <w:sz w:val="24"/>
              </w:rPr>
              <w:t xml:space="preserve">Наименование объектов, граничащих со зданиями и с сооружениями складов нефти и нефтепродуктов</w:t>
            </w:r>
          </w:p>
        </w:tc>
        <w:tc>
          <w:tcPr>
            <w:gridSpan w:val="5"/>
            <w:tcW w:w="4968" w:type="dxa"/>
          </w:tcPr>
          <w:p>
            <w:pPr>
              <w:pStyle w:val="0"/>
              <w:jc w:val="center"/>
            </w:pPr>
            <w:r>
              <w:rPr>
                <w:sz w:val="24"/>
              </w:rPr>
              <w:t xml:space="preserve">Противопожарные расстояния от зданий, и сооружений складов нефти и нефтепродуктов до граничащих с ними объектов при категории склада, метры</w:t>
            </w:r>
          </w:p>
        </w:tc>
      </w:tr>
      <w:tr>
        <w:tc>
          <w:tcPr>
            <w:vMerge w:val="continue"/>
          </w:tcPr>
          <w:p/>
        </w:tc>
        <w:tc>
          <w:tcPr>
            <w:tcW w:w="1041" w:type="dxa"/>
          </w:tcPr>
          <w:p>
            <w:pPr>
              <w:pStyle w:val="0"/>
              <w:jc w:val="center"/>
            </w:pPr>
            <w:r>
              <w:rPr>
                <w:sz w:val="24"/>
              </w:rPr>
              <w:t xml:space="preserve">I</w:t>
            </w:r>
          </w:p>
        </w:tc>
        <w:tc>
          <w:tcPr>
            <w:tcW w:w="1053" w:type="dxa"/>
          </w:tcPr>
          <w:p>
            <w:pPr>
              <w:pStyle w:val="0"/>
              <w:jc w:val="center"/>
            </w:pPr>
            <w:r>
              <w:rPr>
                <w:sz w:val="24"/>
              </w:rPr>
              <w:t xml:space="preserve">II</w:t>
            </w:r>
          </w:p>
        </w:tc>
        <w:tc>
          <w:tcPr>
            <w:tcW w:w="958" w:type="dxa"/>
          </w:tcPr>
          <w:p>
            <w:pPr>
              <w:pStyle w:val="0"/>
              <w:jc w:val="center"/>
            </w:pPr>
            <w:r>
              <w:rPr>
                <w:sz w:val="24"/>
              </w:rPr>
              <w:t xml:space="preserve">IIIа</w:t>
            </w:r>
          </w:p>
        </w:tc>
        <w:tc>
          <w:tcPr>
            <w:tcW w:w="958" w:type="dxa"/>
          </w:tcPr>
          <w:p>
            <w:pPr>
              <w:pStyle w:val="0"/>
              <w:jc w:val="center"/>
            </w:pPr>
            <w:r>
              <w:rPr>
                <w:sz w:val="24"/>
              </w:rPr>
              <w:t xml:space="preserve">IIIб</w:t>
            </w:r>
          </w:p>
        </w:tc>
        <w:tc>
          <w:tcPr>
            <w:tcW w:w="958" w:type="dxa"/>
          </w:tcPr>
          <w:p>
            <w:pPr>
              <w:pStyle w:val="0"/>
              <w:jc w:val="center"/>
            </w:pPr>
            <w:r>
              <w:rPr>
                <w:sz w:val="24"/>
              </w:rPr>
              <w:t xml:space="preserve">IIIв</w:t>
            </w:r>
          </w:p>
        </w:tc>
      </w:tr>
      <w:tr>
        <w:tblPrEx>
          <w:tblBorders>
            <w:insideH w:val="nil"/>
          </w:tblBorders>
        </w:tblPrEx>
        <w:tc>
          <w:tcPr>
            <w:tcW w:w="3996" w:type="dxa"/>
            <w:tcBorders>
              <w:bottom w:val="nil"/>
            </w:tcBorders>
          </w:tcPr>
          <w:p>
            <w:pPr>
              <w:pStyle w:val="0"/>
            </w:pPr>
            <w:r>
              <w:rPr>
                <w:sz w:val="24"/>
              </w:rPr>
              <w:t xml:space="preserve">Здания и сооружения граничащих с ними производственных объектов</w:t>
            </w:r>
          </w:p>
        </w:tc>
        <w:tc>
          <w:tcPr>
            <w:tcW w:w="1041" w:type="dxa"/>
            <w:vAlign w:val="bottom"/>
            <w:tcBorders>
              <w:bottom w:val="nil"/>
            </w:tcBorders>
          </w:tcPr>
          <w:p>
            <w:pPr>
              <w:pStyle w:val="0"/>
              <w:jc w:val="center"/>
            </w:pPr>
            <w:r>
              <w:rPr>
                <w:sz w:val="24"/>
              </w:rPr>
              <w:t xml:space="preserve">100</w:t>
            </w:r>
          </w:p>
        </w:tc>
        <w:tc>
          <w:tcPr>
            <w:tcW w:w="1053" w:type="dxa"/>
            <w:vAlign w:val="bottom"/>
            <w:tcBorders>
              <w:bottom w:val="nil"/>
            </w:tcBorders>
          </w:tcPr>
          <w:p>
            <w:pPr>
              <w:pStyle w:val="0"/>
              <w:jc w:val="center"/>
            </w:pPr>
            <w:r>
              <w:rPr>
                <w:sz w:val="24"/>
              </w:rPr>
              <w:t xml:space="preserve">40 (100)</w:t>
            </w:r>
          </w:p>
        </w:tc>
        <w:tc>
          <w:tcPr>
            <w:tcW w:w="958" w:type="dxa"/>
            <w:vAlign w:val="bottom"/>
            <w:tcBorders>
              <w:bottom w:val="nil"/>
            </w:tcBorders>
          </w:tcPr>
          <w:p>
            <w:pPr>
              <w:pStyle w:val="0"/>
              <w:jc w:val="center"/>
            </w:pPr>
            <w:r>
              <w:rPr>
                <w:sz w:val="24"/>
              </w:rPr>
              <w:t xml:space="preserve">40</w:t>
            </w:r>
          </w:p>
        </w:tc>
        <w:tc>
          <w:tcPr>
            <w:tcW w:w="958" w:type="dxa"/>
            <w:vAlign w:val="bottom"/>
            <w:tcBorders>
              <w:bottom w:val="nil"/>
            </w:tcBorders>
          </w:tcPr>
          <w:p>
            <w:pPr>
              <w:pStyle w:val="0"/>
              <w:jc w:val="center"/>
            </w:pPr>
            <w:r>
              <w:rPr>
                <w:sz w:val="24"/>
              </w:rPr>
              <w:t xml:space="preserve">40</w:t>
            </w:r>
          </w:p>
        </w:tc>
        <w:tc>
          <w:tcPr>
            <w:tcW w:w="958" w:type="dxa"/>
            <w:vAlign w:val="bottom"/>
            <w:tcBorders>
              <w:bottom w:val="nil"/>
            </w:tcBorders>
          </w:tcPr>
          <w:p>
            <w:pPr>
              <w:pStyle w:val="0"/>
              <w:jc w:val="center"/>
            </w:pPr>
            <w:r>
              <w:rPr>
                <w:sz w:val="24"/>
              </w:rPr>
              <w:t xml:space="preserve">30</w:t>
            </w:r>
          </w:p>
        </w:tc>
      </w:tr>
      <w:tr>
        <w:tblPrEx>
          <w:tblBorders>
            <w:insideH w:val="nil"/>
          </w:tblBorders>
        </w:tblPrEx>
        <w:tc>
          <w:tcPr>
            <w:gridSpan w:val="6"/>
            <w:tcW w:w="8964" w:type="dxa"/>
            <w:tcBorders>
              <w:top w:val="nil"/>
            </w:tcBorders>
          </w:tcPr>
          <w:p>
            <w:pPr>
              <w:pStyle w:val="0"/>
              <w:jc w:val="both"/>
            </w:pPr>
            <w:r>
              <w:rPr>
                <w:sz w:val="24"/>
              </w:rPr>
              <w:t xml:space="preserve">(в ред. Федерального </w:t>
            </w:r>
            <w:r>
              <w:rPr>
                <w:sz w:val="24"/>
              </w:rPr>
              <w:t xml:space="preserve">закона</w:t>
            </w:r>
            <w:r>
              <w:rPr>
                <w:sz w:val="24"/>
              </w:rPr>
              <w:t xml:space="preserve"> от 10.07.2012 N 117-ФЗ)</w:t>
            </w:r>
          </w:p>
        </w:tc>
      </w:tr>
      <w:tr>
        <w:tblPrEx>
          <w:tblBorders>
            <w:insideH w:val="nil"/>
          </w:tblBorders>
        </w:tblPrEx>
        <w:tc>
          <w:tcPr>
            <w:tcW w:w="3996" w:type="dxa"/>
            <w:tcBorders>
              <w:bottom w:val="nil"/>
            </w:tcBorders>
          </w:tcPr>
          <w:p>
            <w:pPr>
              <w:pStyle w:val="0"/>
            </w:pPr>
            <w:r>
              <w:rPr>
                <w:sz w:val="24"/>
              </w:rPr>
              <w:t xml:space="preserve">Лесничества с лесными насаждениями:</w:t>
            </w:r>
          </w:p>
        </w:tc>
        <w:tc>
          <w:tcPr>
            <w:tcW w:w="1041" w:type="dxa"/>
            <w:tcBorders>
              <w:bottom w:val="nil"/>
            </w:tcBorders>
          </w:tcPr>
          <w:p>
            <w:pPr>
              <w:pStyle w:val="0"/>
              <w:jc w:val="both"/>
            </w:pPr>
            <w:r>
              <w:rPr>
                <w:sz w:val="24"/>
              </w:rPr>
            </w:r>
          </w:p>
        </w:tc>
        <w:tc>
          <w:tcPr>
            <w:tcW w:w="1053" w:type="dxa"/>
            <w:tcBorders>
              <w:bottom w:val="nil"/>
            </w:tcBorders>
          </w:tcPr>
          <w:p>
            <w:pPr>
              <w:pStyle w:val="0"/>
              <w:jc w:val="both"/>
            </w:pPr>
            <w:r>
              <w:rPr>
                <w:sz w:val="24"/>
              </w:rPr>
            </w:r>
          </w:p>
        </w:tc>
        <w:tc>
          <w:tcPr>
            <w:tcW w:w="958" w:type="dxa"/>
            <w:tcBorders>
              <w:bottom w:val="nil"/>
            </w:tcBorders>
          </w:tcPr>
          <w:p>
            <w:pPr>
              <w:pStyle w:val="0"/>
              <w:jc w:val="both"/>
            </w:pPr>
            <w:r>
              <w:rPr>
                <w:sz w:val="24"/>
              </w:rPr>
            </w:r>
          </w:p>
        </w:tc>
        <w:tc>
          <w:tcPr>
            <w:tcW w:w="958" w:type="dxa"/>
            <w:tcBorders>
              <w:bottom w:val="nil"/>
            </w:tcBorders>
          </w:tcPr>
          <w:p>
            <w:pPr>
              <w:pStyle w:val="0"/>
              <w:jc w:val="both"/>
            </w:pPr>
            <w:r>
              <w:rPr>
                <w:sz w:val="24"/>
              </w:rPr>
            </w:r>
          </w:p>
        </w:tc>
        <w:tc>
          <w:tcPr>
            <w:tcW w:w="958" w:type="dxa"/>
            <w:tcBorders>
              <w:bottom w:val="nil"/>
            </w:tcBorders>
          </w:tcPr>
          <w:p>
            <w:pPr>
              <w:pStyle w:val="0"/>
              <w:jc w:val="both"/>
            </w:pPr>
            <w:r>
              <w:rPr>
                <w:sz w:val="24"/>
              </w:rPr>
            </w:r>
          </w:p>
        </w:tc>
      </w:tr>
      <w:tr>
        <w:tblPrEx>
          <w:tblBorders>
            <w:insideH w:val="nil"/>
          </w:tblBorders>
        </w:tblPrEx>
        <w:tc>
          <w:tcPr>
            <w:gridSpan w:val="6"/>
            <w:tcW w:w="8964" w:type="dxa"/>
            <w:tcBorders>
              <w:top w:val="nil"/>
              <w:bottom w:val="nil"/>
            </w:tcBorders>
          </w:tcPr>
          <w:p>
            <w:pPr>
              <w:pStyle w:val="0"/>
              <w:jc w:val="both"/>
            </w:pPr>
            <w:r>
              <w:rPr>
                <w:sz w:val="24"/>
              </w:rPr>
              <w:t xml:space="preserve">(в ред. Федеральных законов от 10.07.2012 </w:t>
            </w:r>
            <w:r>
              <w:rPr>
                <w:sz w:val="24"/>
              </w:rPr>
              <w:t xml:space="preserve">N 117-ФЗ</w:t>
            </w:r>
            <w:r>
              <w:rPr>
                <w:sz w:val="24"/>
              </w:rPr>
              <w:t xml:space="preserve">, от 27.12.2018 </w:t>
            </w:r>
            <w:r>
              <w:rPr>
                <w:sz w:val="24"/>
              </w:rPr>
              <w:t xml:space="preserve">N 538-ФЗ</w:t>
            </w:r>
            <w:r>
              <w:rPr>
                <w:sz w:val="24"/>
              </w:rPr>
              <w:t xml:space="preserve">)</w:t>
            </w:r>
          </w:p>
        </w:tc>
      </w:tr>
      <w:tr>
        <w:tblPrEx>
          <w:tblBorders>
            <w:insideH w:val="nil"/>
          </w:tblBorders>
        </w:tblPrEx>
        <w:tc>
          <w:tcPr>
            <w:tcW w:w="3996" w:type="dxa"/>
            <w:tcBorders>
              <w:top w:val="nil"/>
              <w:bottom w:val="nil"/>
            </w:tcBorders>
          </w:tcPr>
          <w:p>
            <w:pPr>
              <w:pStyle w:val="0"/>
              <w:ind w:left="283"/>
            </w:pPr>
            <w:r>
              <w:rPr>
                <w:sz w:val="24"/>
              </w:rPr>
              <w:t xml:space="preserve">хвойных и смешанных пород</w:t>
            </w:r>
          </w:p>
        </w:tc>
        <w:tc>
          <w:tcPr>
            <w:tcW w:w="1041" w:type="dxa"/>
            <w:vAlign w:val="bottom"/>
            <w:tcBorders>
              <w:top w:val="nil"/>
              <w:bottom w:val="nil"/>
            </w:tcBorders>
          </w:tcPr>
          <w:p>
            <w:pPr>
              <w:pStyle w:val="0"/>
              <w:jc w:val="center"/>
            </w:pPr>
            <w:r>
              <w:rPr>
                <w:sz w:val="24"/>
              </w:rPr>
              <w:t xml:space="preserve">100</w:t>
            </w:r>
          </w:p>
        </w:tc>
        <w:tc>
          <w:tcPr>
            <w:tcW w:w="1053" w:type="dxa"/>
            <w:vAlign w:val="bottom"/>
            <w:tcBorders>
              <w:top w:val="nil"/>
              <w:bottom w:val="nil"/>
            </w:tcBorders>
          </w:tcPr>
          <w:p>
            <w:pPr>
              <w:pStyle w:val="0"/>
              <w:jc w:val="center"/>
            </w:pPr>
            <w:r>
              <w:rPr>
                <w:sz w:val="24"/>
              </w:rPr>
              <w:t xml:space="preserve">50</w:t>
            </w:r>
          </w:p>
        </w:tc>
        <w:tc>
          <w:tcPr>
            <w:tcW w:w="958" w:type="dxa"/>
            <w:vAlign w:val="bottom"/>
            <w:tcBorders>
              <w:top w:val="nil"/>
              <w:bottom w:val="nil"/>
            </w:tcBorders>
          </w:tcPr>
          <w:p>
            <w:pPr>
              <w:pStyle w:val="0"/>
              <w:jc w:val="center"/>
            </w:pPr>
            <w:r>
              <w:rPr>
                <w:sz w:val="24"/>
              </w:rPr>
              <w:t xml:space="preserve">50</w:t>
            </w:r>
          </w:p>
        </w:tc>
        <w:tc>
          <w:tcPr>
            <w:tcW w:w="958" w:type="dxa"/>
            <w:vAlign w:val="bottom"/>
            <w:tcBorders>
              <w:top w:val="nil"/>
              <w:bottom w:val="nil"/>
            </w:tcBorders>
          </w:tcPr>
          <w:p>
            <w:pPr>
              <w:pStyle w:val="0"/>
              <w:jc w:val="center"/>
            </w:pPr>
            <w:r>
              <w:rPr>
                <w:sz w:val="24"/>
              </w:rPr>
              <w:t xml:space="preserve">50</w:t>
            </w:r>
          </w:p>
        </w:tc>
        <w:tc>
          <w:tcPr>
            <w:tcW w:w="958" w:type="dxa"/>
            <w:vAlign w:val="bottom"/>
            <w:tcBorders>
              <w:top w:val="nil"/>
              <w:bottom w:val="nil"/>
            </w:tcBorders>
          </w:tcPr>
          <w:p>
            <w:pPr>
              <w:pStyle w:val="0"/>
              <w:jc w:val="center"/>
            </w:pPr>
            <w:r>
              <w:rPr>
                <w:sz w:val="24"/>
              </w:rPr>
              <w:t xml:space="preserve">50</w:t>
            </w:r>
          </w:p>
        </w:tc>
      </w:tr>
      <w:tr>
        <w:tblPrEx>
          <w:tblBorders>
            <w:insideH w:val="nil"/>
          </w:tblBorders>
        </w:tblPrEx>
        <w:tc>
          <w:tcPr>
            <w:tcW w:w="3996" w:type="dxa"/>
            <w:tcBorders>
              <w:top w:val="nil"/>
            </w:tcBorders>
          </w:tcPr>
          <w:p>
            <w:pPr>
              <w:pStyle w:val="0"/>
              <w:ind w:left="283"/>
            </w:pPr>
            <w:r>
              <w:rPr>
                <w:sz w:val="24"/>
              </w:rPr>
              <w:t xml:space="preserve">лиственных пород</w:t>
            </w:r>
          </w:p>
        </w:tc>
        <w:tc>
          <w:tcPr>
            <w:tcW w:w="1041" w:type="dxa"/>
            <w:vAlign w:val="bottom"/>
            <w:tcBorders>
              <w:top w:val="nil"/>
            </w:tcBorders>
          </w:tcPr>
          <w:p>
            <w:pPr>
              <w:pStyle w:val="0"/>
              <w:jc w:val="center"/>
            </w:pPr>
            <w:r>
              <w:rPr>
                <w:sz w:val="24"/>
              </w:rPr>
              <w:t xml:space="preserve">100</w:t>
            </w:r>
          </w:p>
        </w:tc>
        <w:tc>
          <w:tcPr>
            <w:tcW w:w="1053" w:type="dxa"/>
            <w:vAlign w:val="bottom"/>
            <w:tcBorders>
              <w:top w:val="nil"/>
            </w:tcBorders>
          </w:tcPr>
          <w:p>
            <w:pPr>
              <w:pStyle w:val="0"/>
              <w:jc w:val="center"/>
            </w:pPr>
            <w:r>
              <w:rPr>
                <w:sz w:val="24"/>
              </w:rPr>
              <w:t xml:space="preserve">100</w:t>
            </w:r>
          </w:p>
        </w:tc>
        <w:tc>
          <w:tcPr>
            <w:tcW w:w="958" w:type="dxa"/>
            <w:vAlign w:val="bottom"/>
            <w:tcBorders>
              <w:top w:val="nil"/>
            </w:tcBorders>
          </w:tcPr>
          <w:p>
            <w:pPr>
              <w:pStyle w:val="0"/>
              <w:jc w:val="center"/>
            </w:pPr>
            <w:r>
              <w:rPr>
                <w:sz w:val="24"/>
              </w:rPr>
              <w:t xml:space="preserve">50</w:t>
            </w:r>
          </w:p>
        </w:tc>
        <w:tc>
          <w:tcPr>
            <w:tcW w:w="958" w:type="dxa"/>
            <w:vAlign w:val="bottom"/>
            <w:tcBorders>
              <w:top w:val="nil"/>
            </w:tcBorders>
          </w:tcPr>
          <w:p>
            <w:pPr>
              <w:pStyle w:val="0"/>
              <w:jc w:val="center"/>
            </w:pPr>
            <w:r>
              <w:rPr>
                <w:sz w:val="24"/>
              </w:rPr>
              <w:t xml:space="preserve">50</w:t>
            </w:r>
          </w:p>
        </w:tc>
        <w:tc>
          <w:tcPr>
            <w:tcW w:w="958" w:type="dxa"/>
            <w:vAlign w:val="bottom"/>
            <w:tcBorders>
              <w:top w:val="nil"/>
            </w:tcBorders>
          </w:tcPr>
          <w:p>
            <w:pPr>
              <w:pStyle w:val="0"/>
              <w:jc w:val="center"/>
            </w:pPr>
            <w:r>
              <w:rPr>
                <w:sz w:val="24"/>
              </w:rPr>
              <w:t xml:space="preserve">50</w:t>
            </w:r>
          </w:p>
        </w:tc>
      </w:tr>
      <w:tr>
        <w:tc>
          <w:tcPr>
            <w:tcW w:w="3996" w:type="dxa"/>
          </w:tcPr>
          <w:p>
            <w:pPr>
              <w:pStyle w:val="0"/>
            </w:pPr>
            <w:r>
              <w:rPr>
                <w:sz w:val="24"/>
              </w:rPr>
              <w:t xml:space="preserve">Склады лесных материалов, торфа, волокнистых горючих веществ, сена, соломы, а также участки открытого залегания торфа</w:t>
            </w:r>
          </w:p>
        </w:tc>
        <w:tc>
          <w:tcPr>
            <w:tcW w:w="1041" w:type="dxa"/>
            <w:vAlign w:val="bottom"/>
          </w:tcPr>
          <w:p>
            <w:pPr>
              <w:pStyle w:val="0"/>
              <w:jc w:val="center"/>
            </w:pPr>
            <w:r>
              <w:rPr>
                <w:sz w:val="24"/>
              </w:rPr>
              <w:t xml:space="preserve">100</w:t>
            </w:r>
          </w:p>
        </w:tc>
        <w:tc>
          <w:tcPr>
            <w:tcW w:w="1053" w:type="dxa"/>
            <w:vAlign w:val="bottom"/>
          </w:tcPr>
          <w:p>
            <w:pPr>
              <w:pStyle w:val="0"/>
              <w:jc w:val="center"/>
            </w:pPr>
            <w:r>
              <w:rPr>
                <w:sz w:val="24"/>
              </w:rPr>
              <w:t xml:space="preserve">100</w:t>
            </w:r>
          </w:p>
        </w:tc>
        <w:tc>
          <w:tcPr>
            <w:tcW w:w="958" w:type="dxa"/>
            <w:vAlign w:val="bottom"/>
          </w:tcPr>
          <w:p>
            <w:pPr>
              <w:pStyle w:val="0"/>
              <w:jc w:val="center"/>
            </w:pPr>
            <w:r>
              <w:rPr>
                <w:sz w:val="24"/>
              </w:rPr>
              <w:t xml:space="preserve">50</w:t>
            </w:r>
          </w:p>
        </w:tc>
        <w:tc>
          <w:tcPr>
            <w:tcW w:w="958" w:type="dxa"/>
            <w:vAlign w:val="bottom"/>
          </w:tcPr>
          <w:p>
            <w:pPr>
              <w:pStyle w:val="0"/>
              <w:jc w:val="center"/>
            </w:pPr>
            <w:r>
              <w:rPr>
                <w:sz w:val="24"/>
              </w:rPr>
              <w:t xml:space="preserve">50</w:t>
            </w:r>
          </w:p>
        </w:tc>
        <w:tc>
          <w:tcPr>
            <w:tcW w:w="958" w:type="dxa"/>
            <w:vAlign w:val="bottom"/>
          </w:tcPr>
          <w:p>
            <w:pPr>
              <w:pStyle w:val="0"/>
              <w:jc w:val="center"/>
            </w:pPr>
            <w:r>
              <w:rPr>
                <w:sz w:val="24"/>
              </w:rPr>
              <w:t xml:space="preserve">50</w:t>
            </w:r>
          </w:p>
        </w:tc>
      </w:tr>
      <w:tr>
        <w:tblPrEx>
          <w:tblBorders>
            <w:insideH w:val="nil"/>
          </w:tblBorders>
        </w:tblPrEx>
        <w:tc>
          <w:tcPr>
            <w:tcW w:w="3996" w:type="dxa"/>
            <w:tcBorders>
              <w:bottom w:val="nil"/>
            </w:tcBorders>
          </w:tcPr>
          <w:p>
            <w:pPr>
              <w:pStyle w:val="0"/>
            </w:pPr>
            <w:r>
              <w:rPr>
                <w:sz w:val="24"/>
              </w:rPr>
              <w:t xml:space="preserve">Железные дороги общей сети (до подошвы насыпи или бровки выемки):</w:t>
            </w:r>
          </w:p>
        </w:tc>
        <w:tc>
          <w:tcPr>
            <w:tcW w:w="1041" w:type="dxa"/>
            <w:vAlign w:val="bottom"/>
            <w:tcBorders>
              <w:bottom w:val="nil"/>
            </w:tcBorders>
          </w:tcPr>
          <w:p>
            <w:pPr>
              <w:pStyle w:val="0"/>
              <w:jc w:val="center"/>
            </w:pPr>
            <w:r>
              <w:rPr>
                <w:sz w:val="24"/>
              </w:rPr>
            </w:r>
          </w:p>
        </w:tc>
        <w:tc>
          <w:tcPr>
            <w:tcW w:w="1053" w:type="dxa"/>
            <w:vAlign w:val="bottom"/>
            <w:tcBorders>
              <w:bottom w:val="nil"/>
            </w:tcBorders>
          </w:tcPr>
          <w:p>
            <w:pPr>
              <w:pStyle w:val="0"/>
              <w:jc w:val="center"/>
            </w:pPr>
            <w:r>
              <w:rPr>
                <w:sz w:val="24"/>
              </w:rPr>
            </w:r>
          </w:p>
        </w:tc>
        <w:tc>
          <w:tcPr>
            <w:tcW w:w="958" w:type="dxa"/>
            <w:vAlign w:val="bottom"/>
            <w:tcBorders>
              <w:bottom w:val="nil"/>
            </w:tcBorders>
          </w:tcPr>
          <w:p>
            <w:pPr>
              <w:pStyle w:val="0"/>
              <w:jc w:val="center"/>
            </w:pPr>
            <w:r>
              <w:rPr>
                <w:sz w:val="24"/>
              </w:rPr>
            </w:r>
          </w:p>
        </w:tc>
        <w:tc>
          <w:tcPr>
            <w:tcW w:w="958" w:type="dxa"/>
            <w:vAlign w:val="bottom"/>
            <w:tcBorders>
              <w:bottom w:val="nil"/>
            </w:tcBorders>
          </w:tcPr>
          <w:p>
            <w:pPr>
              <w:pStyle w:val="0"/>
              <w:jc w:val="center"/>
            </w:pPr>
            <w:r>
              <w:rPr>
                <w:sz w:val="24"/>
              </w:rPr>
            </w:r>
          </w:p>
        </w:tc>
        <w:tc>
          <w:tcPr>
            <w:tcW w:w="958" w:type="dxa"/>
            <w:vAlign w:val="bottom"/>
            <w:tcBorders>
              <w:bottom w:val="nil"/>
            </w:tcBorders>
          </w:tcPr>
          <w:p>
            <w:pPr>
              <w:pStyle w:val="0"/>
              <w:jc w:val="center"/>
            </w:pPr>
            <w:r>
              <w:rPr>
                <w:sz w:val="24"/>
              </w:rPr>
            </w:r>
          </w:p>
        </w:tc>
      </w:tr>
      <w:tr>
        <w:tblPrEx>
          <w:tblBorders>
            <w:insideH w:val="nil"/>
          </w:tblBorders>
        </w:tblPrEx>
        <w:tc>
          <w:tcPr>
            <w:tcW w:w="3996" w:type="dxa"/>
            <w:tcBorders>
              <w:top w:val="nil"/>
              <w:bottom w:val="nil"/>
            </w:tcBorders>
          </w:tcPr>
          <w:p>
            <w:pPr>
              <w:pStyle w:val="0"/>
              <w:ind w:left="283"/>
            </w:pPr>
            <w:r>
              <w:rPr>
                <w:sz w:val="24"/>
              </w:rPr>
              <w:t xml:space="preserve">на станциях</w:t>
            </w:r>
          </w:p>
        </w:tc>
        <w:tc>
          <w:tcPr>
            <w:tcW w:w="1041" w:type="dxa"/>
            <w:vAlign w:val="bottom"/>
            <w:tcBorders>
              <w:top w:val="nil"/>
              <w:bottom w:val="nil"/>
            </w:tcBorders>
          </w:tcPr>
          <w:p>
            <w:pPr>
              <w:pStyle w:val="0"/>
              <w:jc w:val="center"/>
            </w:pPr>
            <w:r>
              <w:rPr>
                <w:sz w:val="24"/>
              </w:rPr>
              <w:t xml:space="preserve">150</w:t>
            </w:r>
          </w:p>
        </w:tc>
        <w:tc>
          <w:tcPr>
            <w:tcW w:w="1053" w:type="dxa"/>
            <w:vAlign w:val="bottom"/>
            <w:tcBorders>
              <w:top w:val="nil"/>
              <w:bottom w:val="nil"/>
            </w:tcBorders>
          </w:tcPr>
          <w:p>
            <w:pPr>
              <w:pStyle w:val="0"/>
              <w:jc w:val="center"/>
            </w:pPr>
            <w:r>
              <w:rPr>
                <w:sz w:val="24"/>
              </w:rPr>
              <w:t xml:space="preserve">100</w:t>
            </w:r>
          </w:p>
        </w:tc>
        <w:tc>
          <w:tcPr>
            <w:tcW w:w="958" w:type="dxa"/>
            <w:vAlign w:val="bottom"/>
            <w:tcBorders>
              <w:top w:val="nil"/>
              <w:bottom w:val="nil"/>
            </w:tcBorders>
          </w:tcPr>
          <w:p>
            <w:pPr>
              <w:pStyle w:val="0"/>
              <w:jc w:val="center"/>
            </w:pPr>
            <w:r>
              <w:rPr>
                <w:sz w:val="24"/>
              </w:rPr>
              <w:t xml:space="preserve">80</w:t>
            </w:r>
          </w:p>
        </w:tc>
        <w:tc>
          <w:tcPr>
            <w:tcW w:w="958" w:type="dxa"/>
            <w:vAlign w:val="bottom"/>
            <w:tcBorders>
              <w:top w:val="nil"/>
              <w:bottom w:val="nil"/>
            </w:tcBorders>
          </w:tcPr>
          <w:p>
            <w:pPr>
              <w:pStyle w:val="0"/>
              <w:jc w:val="center"/>
            </w:pPr>
            <w:r>
              <w:rPr>
                <w:sz w:val="24"/>
              </w:rPr>
              <w:t xml:space="preserve">60</w:t>
            </w:r>
          </w:p>
        </w:tc>
        <w:tc>
          <w:tcPr>
            <w:tcW w:w="958" w:type="dxa"/>
            <w:vAlign w:val="bottom"/>
            <w:tcBorders>
              <w:top w:val="nil"/>
              <w:bottom w:val="nil"/>
            </w:tcBorders>
          </w:tcPr>
          <w:p>
            <w:pPr>
              <w:pStyle w:val="0"/>
              <w:jc w:val="center"/>
            </w:pPr>
            <w:r>
              <w:rPr>
                <w:sz w:val="24"/>
              </w:rPr>
              <w:t xml:space="preserve">50</w:t>
            </w:r>
          </w:p>
        </w:tc>
      </w:tr>
      <w:tr>
        <w:tblPrEx>
          <w:tblBorders>
            <w:insideH w:val="nil"/>
          </w:tblBorders>
        </w:tblPrEx>
        <w:tc>
          <w:tcPr>
            <w:tcW w:w="3996" w:type="dxa"/>
            <w:tcBorders>
              <w:top w:val="nil"/>
              <w:bottom w:val="nil"/>
            </w:tcBorders>
          </w:tcPr>
          <w:p>
            <w:pPr>
              <w:pStyle w:val="0"/>
              <w:ind w:left="283"/>
            </w:pPr>
            <w:r>
              <w:rPr>
                <w:sz w:val="24"/>
              </w:rPr>
              <w:t xml:space="preserve">на разъездах и платформах</w:t>
            </w:r>
          </w:p>
        </w:tc>
        <w:tc>
          <w:tcPr>
            <w:tcW w:w="1041" w:type="dxa"/>
            <w:vAlign w:val="bottom"/>
            <w:tcBorders>
              <w:top w:val="nil"/>
              <w:bottom w:val="nil"/>
            </w:tcBorders>
          </w:tcPr>
          <w:p>
            <w:pPr>
              <w:pStyle w:val="0"/>
              <w:jc w:val="center"/>
            </w:pPr>
            <w:r>
              <w:rPr>
                <w:sz w:val="24"/>
              </w:rPr>
              <w:t xml:space="preserve">80</w:t>
            </w:r>
          </w:p>
        </w:tc>
        <w:tc>
          <w:tcPr>
            <w:tcW w:w="1053" w:type="dxa"/>
            <w:vAlign w:val="bottom"/>
            <w:tcBorders>
              <w:top w:val="nil"/>
              <w:bottom w:val="nil"/>
            </w:tcBorders>
          </w:tcPr>
          <w:p>
            <w:pPr>
              <w:pStyle w:val="0"/>
              <w:jc w:val="center"/>
            </w:pPr>
            <w:r>
              <w:rPr>
                <w:sz w:val="24"/>
              </w:rPr>
              <w:t xml:space="preserve">70</w:t>
            </w:r>
          </w:p>
        </w:tc>
        <w:tc>
          <w:tcPr>
            <w:tcW w:w="958" w:type="dxa"/>
            <w:vAlign w:val="bottom"/>
            <w:tcBorders>
              <w:top w:val="nil"/>
              <w:bottom w:val="nil"/>
            </w:tcBorders>
          </w:tcPr>
          <w:p>
            <w:pPr>
              <w:pStyle w:val="0"/>
              <w:jc w:val="center"/>
            </w:pPr>
            <w:r>
              <w:rPr>
                <w:sz w:val="24"/>
              </w:rPr>
              <w:t xml:space="preserve">60</w:t>
            </w:r>
          </w:p>
        </w:tc>
        <w:tc>
          <w:tcPr>
            <w:tcW w:w="958" w:type="dxa"/>
            <w:vAlign w:val="bottom"/>
            <w:tcBorders>
              <w:top w:val="nil"/>
              <w:bottom w:val="nil"/>
            </w:tcBorders>
          </w:tcPr>
          <w:p>
            <w:pPr>
              <w:pStyle w:val="0"/>
              <w:jc w:val="center"/>
            </w:pPr>
            <w:r>
              <w:rPr>
                <w:sz w:val="24"/>
              </w:rPr>
              <w:t xml:space="preserve">50</w:t>
            </w:r>
          </w:p>
        </w:tc>
        <w:tc>
          <w:tcPr>
            <w:tcW w:w="958" w:type="dxa"/>
            <w:vAlign w:val="bottom"/>
            <w:tcBorders>
              <w:top w:val="nil"/>
              <w:bottom w:val="nil"/>
            </w:tcBorders>
          </w:tcPr>
          <w:p>
            <w:pPr>
              <w:pStyle w:val="0"/>
              <w:jc w:val="center"/>
            </w:pPr>
            <w:r>
              <w:rPr>
                <w:sz w:val="24"/>
              </w:rPr>
              <w:t xml:space="preserve">40</w:t>
            </w:r>
          </w:p>
        </w:tc>
      </w:tr>
      <w:tr>
        <w:tblPrEx>
          <w:tblBorders>
            <w:insideH w:val="nil"/>
          </w:tblBorders>
        </w:tblPrEx>
        <w:tc>
          <w:tcPr>
            <w:tcW w:w="3996" w:type="dxa"/>
            <w:tcBorders>
              <w:top w:val="nil"/>
            </w:tcBorders>
          </w:tcPr>
          <w:p>
            <w:pPr>
              <w:pStyle w:val="0"/>
              <w:ind w:left="283"/>
            </w:pPr>
            <w:r>
              <w:rPr>
                <w:sz w:val="24"/>
              </w:rPr>
              <w:t xml:space="preserve">на перегонах</w:t>
            </w:r>
          </w:p>
        </w:tc>
        <w:tc>
          <w:tcPr>
            <w:tcW w:w="1041" w:type="dxa"/>
            <w:vAlign w:val="bottom"/>
            <w:tcBorders>
              <w:top w:val="nil"/>
            </w:tcBorders>
          </w:tcPr>
          <w:p>
            <w:pPr>
              <w:pStyle w:val="0"/>
              <w:jc w:val="center"/>
            </w:pPr>
            <w:r>
              <w:rPr>
                <w:sz w:val="24"/>
              </w:rPr>
              <w:t xml:space="preserve">60</w:t>
            </w:r>
          </w:p>
        </w:tc>
        <w:tc>
          <w:tcPr>
            <w:tcW w:w="1053" w:type="dxa"/>
            <w:vAlign w:val="bottom"/>
            <w:tcBorders>
              <w:top w:val="nil"/>
            </w:tcBorders>
          </w:tcPr>
          <w:p>
            <w:pPr>
              <w:pStyle w:val="0"/>
              <w:jc w:val="center"/>
            </w:pPr>
            <w:r>
              <w:rPr>
                <w:sz w:val="24"/>
              </w:rPr>
              <w:t xml:space="preserve">50</w:t>
            </w:r>
          </w:p>
        </w:tc>
        <w:tc>
          <w:tcPr>
            <w:tcW w:w="958" w:type="dxa"/>
            <w:vAlign w:val="bottom"/>
            <w:tcBorders>
              <w:top w:val="nil"/>
            </w:tcBorders>
          </w:tcPr>
          <w:p>
            <w:pPr>
              <w:pStyle w:val="0"/>
              <w:jc w:val="center"/>
            </w:pPr>
            <w:r>
              <w:rPr>
                <w:sz w:val="24"/>
              </w:rPr>
              <w:t xml:space="preserve">40</w:t>
            </w:r>
          </w:p>
        </w:tc>
        <w:tc>
          <w:tcPr>
            <w:tcW w:w="958" w:type="dxa"/>
            <w:vAlign w:val="bottom"/>
            <w:tcBorders>
              <w:top w:val="nil"/>
            </w:tcBorders>
          </w:tcPr>
          <w:p>
            <w:pPr>
              <w:pStyle w:val="0"/>
              <w:jc w:val="center"/>
            </w:pPr>
            <w:r>
              <w:rPr>
                <w:sz w:val="24"/>
              </w:rPr>
              <w:t xml:space="preserve">40</w:t>
            </w:r>
          </w:p>
        </w:tc>
        <w:tc>
          <w:tcPr>
            <w:tcW w:w="958" w:type="dxa"/>
            <w:vAlign w:val="bottom"/>
            <w:tcBorders>
              <w:top w:val="nil"/>
            </w:tcBorders>
          </w:tcPr>
          <w:p>
            <w:pPr>
              <w:pStyle w:val="0"/>
              <w:jc w:val="center"/>
            </w:pPr>
            <w:r>
              <w:rPr>
                <w:sz w:val="24"/>
              </w:rPr>
              <w:t xml:space="preserve">30</w:t>
            </w:r>
          </w:p>
        </w:tc>
      </w:tr>
      <w:tr>
        <w:tblPrEx>
          <w:tblBorders>
            <w:insideH w:val="nil"/>
          </w:tblBorders>
        </w:tblPrEx>
        <w:tc>
          <w:tcPr>
            <w:tcW w:w="3996" w:type="dxa"/>
            <w:tcBorders>
              <w:bottom w:val="nil"/>
            </w:tcBorders>
          </w:tcPr>
          <w:p>
            <w:pPr>
              <w:pStyle w:val="0"/>
            </w:pPr>
            <w:r>
              <w:rPr>
                <w:sz w:val="24"/>
              </w:rPr>
              <w:t xml:space="preserve">Автомобильные дороги общей сети (край проезжей части):</w:t>
            </w:r>
          </w:p>
        </w:tc>
        <w:tc>
          <w:tcPr>
            <w:tcW w:w="1041" w:type="dxa"/>
            <w:vAlign w:val="bottom"/>
            <w:tcBorders>
              <w:bottom w:val="nil"/>
            </w:tcBorders>
          </w:tcPr>
          <w:p>
            <w:pPr>
              <w:pStyle w:val="0"/>
              <w:jc w:val="center"/>
            </w:pPr>
            <w:r>
              <w:rPr>
                <w:sz w:val="24"/>
              </w:rPr>
            </w:r>
          </w:p>
        </w:tc>
        <w:tc>
          <w:tcPr>
            <w:tcW w:w="1053" w:type="dxa"/>
            <w:vAlign w:val="bottom"/>
            <w:tcBorders>
              <w:bottom w:val="nil"/>
            </w:tcBorders>
          </w:tcPr>
          <w:p>
            <w:pPr>
              <w:pStyle w:val="0"/>
              <w:jc w:val="center"/>
            </w:pPr>
            <w:r>
              <w:rPr>
                <w:sz w:val="24"/>
              </w:rPr>
            </w:r>
          </w:p>
        </w:tc>
        <w:tc>
          <w:tcPr>
            <w:tcW w:w="958" w:type="dxa"/>
            <w:vAlign w:val="bottom"/>
            <w:tcBorders>
              <w:bottom w:val="nil"/>
            </w:tcBorders>
          </w:tcPr>
          <w:p>
            <w:pPr>
              <w:pStyle w:val="0"/>
              <w:jc w:val="center"/>
            </w:pPr>
            <w:r>
              <w:rPr>
                <w:sz w:val="24"/>
              </w:rPr>
            </w:r>
          </w:p>
        </w:tc>
        <w:tc>
          <w:tcPr>
            <w:tcW w:w="958" w:type="dxa"/>
            <w:vAlign w:val="bottom"/>
            <w:tcBorders>
              <w:bottom w:val="nil"/>
            </w:tcBorders>
          </w:tcPr>
          <w:p>
            <w:pPr>
              <w:pStyle w:val="0"/>
              <w:jc w:val="center"/>
            </w:pPr>
            <w:r>
              <w:rPr>
                <w:sz w:val="24"/>
              </w:rPr>
            </w:r>
          </w:p>
        </w:tc>
        <w:tc>
          <w:tcPr>
            <w:tcW w:w="958" w:type="dxa"/>
            <w:vAlign w:val="bottom"/>
            <w:tcBorders>
              <w:bottom w:val="nil"/>
            </w:tcBorders>
          </w:tcPr>
          <w:p>
            <w:pPr>
              <w:pStyle w:val="0"/>
              <w:jc w:val="center"/>
            </w:pPr>
            <w:r>
              <w:rPr>
                <w:sz w:val="24"/>
              </w:rPr>
            </w:r>
          </w:p>
        </w:tc>
      </w:tr>
      <w:tr>
        <w:tblPrEx>
          <w:tblBorders>
            <w:insideH w:val="nil"/>
          </w:tblBorders>
        </w:tblPrEx>
        <w:tc>
          <w:tcPr>
            <w:tcW w:w="3996" w:type="dxa"/>
            <w:tcBorders>
              <w:top w:val="nil"/>
              <w:bottom w:val="nil"/>
            </w:tcBorders>
          </w:tcPr>
          <w:p>
            <w:pPr>
              <w:pStyle w:val="0"/>
              <w:ind w:left="283"/>
            </w:pPr>
            <w:r>
              <w:rPr>
                <w:sz w:val="24"/>
              </w:rPr>
              <w:t xml:space="preserve">I, II и III категорий</w:t>
            </w:r>
          </w:p>
        </w:tc>
        <w:tc>
          <w:tcPr>
            <w:tcW w:w="1041" w:type="dxa"/>
            <w:vAlign w:val="bottom"/>
            <w:tcBorders>
              <w:top w:val="nil"/>
              <w:bottom w:val="nil"/>
            </w:tcBorders>
          </w:tcPr>
          <w:p>
            <w:pPr>
              <w:pStyle w:val="0"/>
              <w:jc w:val="center"/>
            </w:pPr>
            <w:r>
              <w:rPr>
                <w:sz w:val="24"/>
              </w:rPr>
              <w:t xml:space="preserve">75</w:t>
            </w:r>
          </w:p>
        </w:tc>
        <w:tc>
          <w:tcPr>
            <w:tcW w:w="1053" w:type="dxa"/>
            <w:vAlign w:val="bottom"/>
            <w:tcBorders>
              <w:top w:val="nil"/>
              <w:bottom w:val="nil"/>
            </w:tcBorders>
          </w:tcPr>
          <w:p>
            <w:pPr>
              <w:pStyle w:val="0"/>
              <w:jc w:val="center"/>
            </w:pPr>
            <w:r>
              <w:rPr>
                <w:sz w:val="24"/>
              </w:rPr>
              <w:t xml:space="preserve">50</w:t>
            </w:r>
          </w:p>
        </w:tc>
        <w:tc>
          <w:tcPr>
            <w:tcW w:w="958" w:type="dxa"/>
            <w:vAlign w:val="bottom"/>
            <w:tcBorders>
              <w:top w:val="nil"/>
              <w:bottom w:val="nil"/>
            </w:tcBorders>
          </w:tcPr>
          <w:p>
            <w:pPr>
              <w:pStyle w:val="0"/>
              <w:jc w:val="center"/>
            </w:pPr>
            <w:r>
              <w:rPr>
                <w:sz w:val="24"/>
              </w:rPr>
              <w:t xml:space="preserve">45</w:t>
            </w:r>
          </w:p>
        </w:tc>
        <w:tc>
          <w:tcPr>
            <w:tcW w:w="958" w:type="dxa"/>
            <w:vAlign w:val="bottom"/>
            <w:tcBorders>
              <w:top w:val="nil"/>
              <w:bottom w:val="nil"/>
            </w:tcBorders>
          </w:tcPr>
          <w:p>
            <w:pPr>
              <w:pStyle w:val="0"/>
              <w:jc w:val="center"/>
            </w:pPr>
            <w:r>
              <w:rPr>
                <w:sz w:val="24"/>
              </w:rPr>
              <w:t xml:space="preserve">45</w:t>
            </w:r>
          </w:p>
        </w:tc>
        <w:tc>
          <w:tcPr>
            <w:tcW w:w="958" w:type="dxa"/>
            <w:vAlign w:val="bottom"/>
            <w:tcBorders>
              <w:top w:val="nil"/>
              <w:bottom w:val="nil"/>
            </w:tcBorders>
          </w:tcPr>
          <w:p>
            <w:pPr>
              <w:pStyle w:val="0"/>
              <w:jc w:val="center"/>
            </w:pPr>
            <w:r>
              <w:rPr>
                <w:sz w:val="24"/>
              </w:rPr>
              <w:t xml:space="preserve">45</w:t>
            </w:r>
          </w:p>
        </w:tc>
      </w:tr>
      <w:tr>
        <w:tblPrEx>
          <w:tblBorders>
            <w:insideH w:val="nil"/>
          </w:tblBorders>
        </w:tblPrEx>
        <w:tc>
          <w:tcPr>
            <w:tcW w:w="3996" w:type="dxa"/>
            <w:tcBorders>
              <w:top w:val="nil"/>
            </w:tcBorders>
          </w:tcPr>
          <w:p>
            <w:pPr>
              <w:pStyle w:val="0"/>
              <w:ind w:left="283"/>
            </w:pPr>
            <w:r>
              <w:rPr>
                <w:sz w:val="24"/>
              </w:rPr>
              <w:t xml:space="preserve">IV и V категорий</w:t>
            </w:r>
          </w:p>
        </w:tc>
        <w:tc>
          <w:tcPr>
            <w:tcW w:w="1041" w:type="dxa"/>
            <w:vAlign w:val="bottom"/>
            <w:tcBorders>
              <w:top w:val="nil"/>
            </w:tcBorders>
          </w:tcPr>
          <w:p>
            <w:pPr>
              <w:pStyle w:val="0"/>
              <w:jc w:val="center"/>
            </w:pPr>
            <w:r>
              <w:rPr>
                <w:sz w:val="24"/>
              </w:rPr>
              <w:t xml:space="preserve">40</w:t>
            </w:r>
          </w:p>
        </w:tc>
        <w:tc>
          <w:tcPr>
            <w:tcW w:w="1053" w:type="dxa"/>
            <w:vAlign w:val="bottom"/>
            <w:tcBorders>
              <w:top w:val="nil"/>
            </w:tcBorders>
          </w:tcPr>
          <w:p>
            <w:pPr>
              <w:pStyle w:val="0"/>
              <w:jc w:val="center"/>
            </w:pPr>
            <w:r>
              <w:rPr>
                <w:sz w:val="24"/>
              </w:rPr>
              <w:t xml:space="preserve">30</w:t>
            </w:r>
          </w:p>
        </w:tc>
        <w:tc>
          <w:tcPr>
            <w:tcW w:w="958" w:type="dxa"/>
            <w:vAlign w:val="bottom"/>
            <w:tcBorders>
              <w:top w:val="nil"/>
            </w:tcBorders>
          </w:tcPr>
          <w:p>
            <w:pPr>
              <w:pStyle w:val="0"/>
              <w:jc w:val="center"/>
            </w:pPr>
            <w:r>
              <w:rPr>
                <w:sz w:val="24"/>
              </w:rPr>
              <w:t xml:space="preserve">20</w:t>
            </w:r>
          </w:p>
        </w:tc>
        <w:tc>
          <w:tcPr>
            <w:tcW w:w="958" w:type="dxa"/>
            <w:vAlign w:val="bottom"/>
            <w:tcBorders>
              <w:top w:val="nil"/>
            </w:tcBorders>
          </w:tcPr>
          <w:p>
            <w:pPr>
              <w:pStyle w:val="0"/>
              <w:jc w:val="center"/>
            </w:pPr>
            <w:r>
              <w:rPr>
                <w:sz w:val="24"/>
              </w:rPr>
              <w:t xml:space="preserve">20</w:t>
            </w:r>
          </w:p>
        </w:tc>
        <w:tc>
          <w:tcPr>
            <w:tcW w:w="958" w:type="dxa"/>
            <w:vAlign w:val="bottom"/>
            <w:tcBorders>
              <w:top w:val="nil"/>
            </w:tcBorders>
          </w:tcPr>
          <w:p>
            <w:pPr>
              <w:pStyle w:val="0"/>
              <w:jc w:val="center"/>
            </w:pPr>
            <w:r>
              <w:rPr>
                <w:sz w:val="24"/>
              </w:rPr>
              <w:t xml:space="preserve">15</w:t>
            </w:r>
          </w:p>
        </w:tc>
      </w:tr>
      <w:tr>
        <w:tc>
          <w:tcPr>
            <w:tcW w:w="3996" w:type="dxa"/>
          </w:tcPr>
          <w:p>
            <w:pPr>
              <w:pStyle w:val="0"/>
            </w:pPr>
            <w:r>
              <w:rPr>
                <w:sz w:val="24"/>
              </w:rPr>
              <w:t xml:space="preserve">Жилые и общественные здания</w:t>
            </w:r>
          </w:p>
        </w:tc>
        <w:tc>
          <w:tcPr>
            <w:tcW w:w="1041" w:type="dxa"/>
            <w:vAlign w:val="bottom"/>
          </w:tcPr>
          <w:p>
            <w:pPr>
              <w:pStyle w:val="0"/>
              <w:jc w:val="center"/>
            </w:pPr>
            <w:r>
              <w:rPr>
                <w:sz w:val="24"/>
              </w:rPr>
              <w:t xml:space="preserve">200</w:t>
            </w:r>
          </w:p>
        </w:tc>
        <w:tc>
          <w:tcPr>
            <w:tcW w:w="1053" w:type="dxa"/>
            <w:vAlign w:val="bottom"/>
          </w:tcPr>
          <w:p>
            <w:pPr>
              <w:pStyle w:val="0"/>
              <w:jc w:val="center"/>
            </w:pPr>
            <w:r>
              <w:rPr>
                <w:sz w:val="24"/>
              </w:rPr>
              <w:t xml:space="preserve">100 (200)</w:t>
            </w:r>
          </w:p>
        </w:tc>
        <w:tc>
          <w:tcPr>
            <w:tcW w:w="958" w:type="dxa"/>
            <w:vAlign w:val="bottom"/>
          </w:tcPr>
          <w:p>
            <w:pPr>
              <w:pStyle w:val="0"/>
              <w:jc w:val="center"/>
            </w:pPr>
            <w:r>
              <w:rPr>
                <w:sz w:val="24"/>
              </w:rPr>
              <w:t xml:space="preserve">100</w:t>
            </w:r>
          </w:p>
        </w:tc>
        <w:tc>
          <w:tcPr>
            <w:tcW w:w="958" w:type="dxa"/>
            <w:vAlign w:val="bottom"/>
          </w:tcPr>
          <w:p>
            <w:pPr>
              <w:pStyle w:val="0"/>
              <w:jc w:val="center"/>
            </w:pPr>
            <w:r>
              <w:rPr>
                <w:sz w:val="24"/>
              </w:rPr>
              <w:t xml:space="preserve">100</w:t>
            </w:r>
          </w:p>
        </w:tc>
        <w:tc>
          <w:tcPr>
            <w:tcW w:w="958" w:type="dxa"/>
            <w:vAlign w:val="bottom"/>
          </w:tcPr>
          <w:p>
            <w:pPr>
              <w:pStyle w:val="0"/>
              <w:jc w:val="center"/>
            </w:pPr>
            <w:r>
              <w:rPr>
                <w:sz w:val="24"/>
              </w:rPr>
              <w:t xml:space="preserve">100</w:t>
            </w:r>
          </w:p>
        </w:tc>
      </w:tr>
      <w:tr>
        <w:tc>
          <w:tcPr>
            <w:tcW w:w="3996" w:type="dxa"/>
          </w:tcPr>
          <w:p>
            <w:pPr>
              <w:pStyle w:val="0"/>
            </w:pPr>
            <w:r>
              <w:rPr>
                <w:sz w:val="24"/>
              </w:rPr>
              <w:t xml:space="preserve">Раздаточные колонки автозаправочных станций общего пользования</w:t>
            </w:r>
          </w:p>
        </w:tc>
        <w:tc>
          <w:tcPr>
            <w:tcW w:w="1041" w:type="dxa"/>
            <w:vAlign w:val="bottom"/>
          </w:tcPr>
          <w:p>
            <w:pPr>
              <w:pStyle w:val="0"/>
              <w:jc w:val="center"/>
            </w:pPr>
            <w:r>
              <w:rPr>
                <w:sz w:val="24"/>
              </w:rPr>
              <w:t xml:space="preserve">50</w:t>
            </w:r>
          </w:p>
        </w:tc>
        <w:tc>
          <w:tcPr>
            <w:tcW w:w="1053" w:type="dxa"/>
            <w:vAlign w:val="bottom"/>
          </w:tcPr>
          <w:p>
            <w:pPr>
              <w:pStyle w:val="0"/>
              <w:jc w:val="center"/>
            </w:pPr>
            <w:r>
              <w:rPr>
                <w:sz w:val="24"/>
              </w:rPr>
              <w:t xml:space="preserve">30</w:t>
            </w:r>
          </w:p>
        </w:tc>
        <w:tc>
          <w:tcPr>
            <w:tcW w:w="958" w:type="dxa"/>
            <w:vAlign w:val="bottom"/>
          </w:tcPr>
          <w:p>
            <w:pPr>
              <w:pStyle w:val="0"/>
              <w:jc w:val="center"/>
            </w:pPr>
            <w:r>
              <w:rPr>
                <w:sz w:val="24"/>
              </w:rPr>
              <w:t xml:space="preserve">30</w:t>
            </w:r>
          </w:p>
        </w:tc>
        <w:tc>
          <w:tcPr>
            <w:tcW w:w="958" w:type="dxa"/>
            <w:vAlign w:val="bottom"/>
          </w:tcPr>
          <w:p>
            <w:pPr>
              <w:pStyle w:val="0"/>
              <w:jc w:val="center"/>
            </w:pPr>
            <w:r>
              <w:rPr>
                <w:sz w:val="24"/>
              </w:rPr>
              <w:t xml:space="preserve">30</w:t>
            </w:r>
          </w:p>
        </w:tc>
        <w:tc>
          <w:tcPr>
            <w:tcW w:w="958" w:type="dxa"/>
            <w:vAlign w:val="bottom"/>
          </w:tcPr>
          <w:p>
            <w:pPr>
              <w:pStyle w:val="0"/>
              <w:jc w:val="center"/>
            </w:pPr>
            <w:r>
              <w:rPr>
                <w:sz w:val="24"/>
              </w:rPr>
              <w:t xml:space="preserve">30</w:t>
            </w:r>
          </w:p>
        </w:tc>
      </w:tr>
      <w:tr>
        <w:tc>
          <w:tcPr>
            <w:tcW w:w="3996" w:type="dxa"/>
          </w:tcPr>
          <w:p>
            <w:pPr>
              <w:pStyle w:val="0"/>
            </w:pPr>
            <w:r>
              <w:rPr>
                <w:sz w:val="24"/>
              </w:rPr>
              <w:t xml:space="preserve">Индивидуальные гаражи и открытые стоянки для автомобилей</w:t>
            </w:r>
          </w:p>
        </w:tc>
        <w:tc>
          <w:tcPr>
            <w:tcW w:w="1041" w:type="dxa"/>
            <w:vAlign w:val="bottom"/>
          </w:tcPr>
          <w:p>
            <w:pPr>
              <w:pStyle w:val="0"/>
              <w:jc w:val="center"/>
            </w:pPr>
            <w:r>
              <w:rPr>
                <w:sz w:val="24"/>
              </w:rPr>
              <w:t xml:space="preserve">100</w:t>
            </w:r>
          </w:p>
        </w:tc>
        <w:tc>
          <w:tcPr>
            <w:tcW w:w="1053" w:type="dxa"/>
            <w:vAlign w:val="bottom"/>
          </w:tcPr>
          <w:p>
            <w:pPr>
              <w:pStyle w:val="0"/>
              <w:jc w:val="center"/>
            </w:pPr>
            <w:r>
              <w:rPr>
                <w:sz w:val="24"/>
              </w:rPr>
              <w:t xml:space="preserve">40 (100)</w:t>
            </w:r>
          </w:p>
        </w:tc>
        <w:tc>
          <w:tcPr>
            <w:tcW w:w="958" w:type="dxa"/>
            <w:vAlign w:val="bottom"/>
          </w:tcPr>
          <w:p>
            <w:pPr>
              <w:pStyle w:val="0"/>
              <w:jc w:val="center"/>
            </w:pPr>
            <w:r>
              <w:rPr>
                <w:sz w:val="24"/>
              </w:rPr>
              <w:t xml:space="preserve">40</w:t>
            </w:r>
          </w:p>
        </w:tc>
        <w:tc>
          <w:tcPr>
            <w:tcW w:w="958" w:type="dxa"/>
            <w:vAlign w:val="bottom"/>
          </w:tcPr>
          <w:p>
            <w:pPr>
              <w:pStyle w:val="0"/>
              <w:jc w:val="center"/>
            </w:pPr>
            <w:r>
              <w:rPr>
                <w:sz w:val="24"/>
              </w:rPr>
              <w:t xml:space="preserve">40</w:t>
            </w:r>
          </w:p>
        </w:tc>
        <w:tc>
          <w:tcPr>
            <w:tcW w:w="958" w:type="dxa"/>
            <w:vAlign w:val="bottom"/>
          </w:tcPr>
          <w:p>
            <w:pPr>
              <w:pStyle w:val="0"/>
              <w:jc w:val="center"/>
            </w:pPr>
            <w:r>
              <w:rPr>
                <w:sz w:val="24"/>
              </w:rPr>
              <w:t xml:space="preserve">40</w:t>
            </w:r>
          </w:p>
        </w:tc>
      </w:tr>
      <w:tr>
        <w:tc>
          <w:tcPr>
            <w:tcW w:w="3996" w:type="dxa"/>
          </w:tcPr>
          <w:p>
            <w:pPr>
              <w:pStyle w:val="0"/>
            </w:pPr>
            <w:r>
              <w:rPr>
                <w:sz w:val="24"/>
              </w:rPr>
              <w:t xml:space="preserve">Очистные канализационные сооружения и насосные станции, не относящиеся к складу</w:t>
            </w:r>
          </w:p>
        </w:tc>
        <w:tc>
          <w:tcPr>
            <w:tcW w:w="1041" w:type="dxa"/>
            <w:vAlign w:val="bottom"/>
          </w:tcPr>
          <w:p>
            <w:pPr>
              <w:pStyle w:val="0"/>
              <w:jc w:val="center"/>
            </w:pPr>
            <w:r>
              <w:rPr>
                <w:sz w:val="24"/>
              </w:rPr>
              <w:t xml:space="preserve">100</w:t>
            </w:r>
          </w:p>
        </w:tc>
        <w:tc>
          <w:tcPr>
            <w:tcW w:w="1053" w:type="dxa"/>
            <w:vAlign w:val="bottom"/>
          </w:tcPr>
          <w:p>
            <w:pPr>
              <w:pStyle w:val="0"/>
              <w:jc w:val="center"/>
            </w:pPr>
            <w:r>
              <w:rPr>
                <w:sz w:val="24"/>
              </w:rPr>
              <w:t xml:space="preserve">100</w:t>
            </w:r>
          </w:p>
        </w:tc>
        <w:tc>
          <w:tcPr>
            <w:tcW w:w="958" w:type="dxa"/>
            <w:vAlign w:val="bottom"/>
          </w:tcPr>
          <w:p>
            <w:pPr>
              <w:pStyle w:val="0"/>
              <w:jc w:val="center"/>
            </w:pPr>
            <w:r>
              <w:rPr>
                <w:sz w:val="24"/>
              </w:rPr>
              <w:t xml:space="preserve">40</w:t>
            </w:r>
          </w:p>
        </w:tc>
        <w:tc>
          <w:tcPr>
            <w:tcW w:w="958" w:type="dxa"/>
            <w:vAlign w:val="bottom"/>
          </w:tcPr>
          <w:p>
            <w:pPr>
              <w:pStyle w:val="0"/>
              <w:jc w:val="center"/>
            </w:pPr>
            <w:r>
              <w:rPr>
                <w:sz w:val="24"/>
              </w:rPr>
              <w:t xml:space="preserve">40</w:t>
            </w:r>
          </w:p>
        </w:tc>
        <w:tc>
          <w:tcPr>
            <w:tcW w:w="958" w:type="dxa"/>
            <w:vAlign w:val="bottom"/>
          </w:tcPr>
          <w:p>
            <w:pPr>
              <w:pStyle w:val="0"/>
              <w:jc w:val="center"/>
            </w:pPr>
            <w:r>
              <w:rPr>
                <w:sz w:val="24"/>
              </w:rPr>
              <w:t xml:space="preserve">40</w:t>
            </w:r>
          </w:p>
        </w:tc>
      </w:tr>
      <w:tr>
        <w:tc>
          <w:tcPr>
            <w:tcW w:w="3996" w:type="dxa"/>
          </w:tcPr>
          <w:p>
            <w:pPr>
              <w:pStyle w:val="0"/>
            </w:pPr>
            <w:r>
              <w:rPr>
                <w:sz w:val="24"/>
              </w:rPr>
              <w:t xml:space="preserve">Водозаправочные сооружения, не относящиеся к складу</w:t>
            </w:r>
          </w:p>
        </w:tc>
        <w:tc>
          <w:tcPr>
            <w:tcW w:w="1041" w:type="dxa"/>
            <w:vAlign w:val="bottom"/>
          </w:tcPr>
          <w:p>
            <w:pPr>
              <w:pStyle w:val="0"/>
              <w:jc w:val="center"/>
            </w:pPr>
            <w:r>
              <w:rPr>
                <w:sz w:val="24"/>
              </w:rPr>
              <w:t xml:space="preserve">200</w:t>
            </w:r>
          </w:p>
        </w:tc>
        <w:tc>
          <w:tcPr>
            <w:tcW w:w="1053" w:type="dxa"/>
            <w:vAlign w:val="bottom"/>
          </w:tcPr>
          <w:p>
            <w:pPr>
              <w:pStyle w:val="0"/>
              <w:jc w:val="center"/>
            </w:pPr>
            <w:r>
              <w:rPr>
                <w:sz w:val="24"/>
              </w:rPr>
              <w:t xml:space="preserve">150</w:t>
            </w:r>
          </w:p>
        </w:tc>
        <w:tc>
          <w:tcPr>
            <w:tcW w:w="958" w:type="dxa"/>
            <w:vAlign w:val="bottom"/>
          </w:tcPr>
          <w:p>
            <w:pPr>
              <w:pStyle w:val="0"/>
              <w:jc w:val="center"/>
            </w:pPr>
            <w:r>
              <w:rPr>
                <w:sz w:val="24"/>
              </w:rPr>
              <w:t xml:space="preserve">100</w:t>
            </w:r>
          </w:p>
        </w:tc>
        <w:tc>
          <w:tcPr>
            <w:tcW w:w="958" w:type="dxa"/>
            <w:vAlign w:val="bottom"/>
          </w:tcPr>
          <w:p>
            <w:pPr>
              <w:pStyle w:val="0"/>
              <w:jc w:val="center"/>
            </w:pPr>
            <w:r>
              <w:rPr>
                <w:sz w:val="24"/>
              </w:rPr>
              <w:t xml:space="preserve">75</w:t>
            </w:r>
          </w:p>
        </w:tc>
        <w:tc>
          <w:tcPr>
            <w:tcW w:w="958" w:type="dxa"/>
            <w:vAlign w:val="bottom"/>
          </w:tcPr>
          <w:p>
            <w:pPr>
              <w:pStyle w:val="0"/>
              <w:jc w:val="center"/>
            </w:pPr>
            <w:r>
              <w:rPr>
                <w:sz w:val="24"/>
              </w:rPr>
              <w:t xml:space="preserve">75</w:t>
            </w:r>
          </w:p>
        </w:tc>
      </w:tr>
      <w:tr>
        <w:tc>
          <w:tcPr>
            <w:tcW w:w="3996" w:type="dxa"/>
          </w:tcPr>
          <w:p>
            <w:pPr>
              <w:pStyle w:val="0"/>
            </w:pPr>
            <w:r>
              <w:rPr>
                <w:sz w:val="24"/>
              </w:rPr>
              <w:t xml:space="preserve">Аварийная емкость (аварийные емкости) для резервуарного парка</w:t>
            </w:r>
          </w:p>
        </w:tc>
        <w:tc>
          <w:tcPr>
            <w:tcW w:w="1041" w:type="dxa"/>
            <w:vAlign w:val="bottom"/>
          </w:tcPr>
          <w:p>
            <w:pPr>
              <w:pStyle w:val="0"/>
              <w:jc w:val="center"/>
            </w:pPr>
            <w:r>
              <w:rPr>
                <w:sz w:val="24"/>
              </w:rPr>
              <w:t xml:space="preserve">60</w:t>
            </w:r>
          </w:p>
        </w:tc>
        <w:tc>
          <w:tcPr>
            <w:tcW w:w="1053" w:type="dxa"/>
            <w:vAlign w:val="bottom"/>
          </w:tcPr>
          <w:p>
            <w:pPr>
              <w:pStyle w:val="0"/>
              <w:jc w:val="center"/>
            </w:pPr>
            <w:r>
              <w:rPr>
                <w:sz w:val="24"/>
              </w:rPr>
              <w:t xml:space="preserve">40</w:t>
            </w:r>
          </w:p>
        </w:tc>
        <w:tc>
          <w:tcPr>
            <w:tcW w:w="958" w:type="dxa"/>
            <w:vAlign w:val="bottom"/>
          </w:tcPr>
          <w:p>
            <w:pPr>
              <w:pStyle w:val="0"/>
              <w:jc w:val="center"/>
            </w:pPr>
            <w:r>
              <w:rPr>
                <w:sz w:val="24"/>
              </w:rPr>
              <w:t xml:space="preserve">40</w:t>
            </w:r>
          </w:p>
        </w:tc>
        <w:tc>
          <w:tcPr>
            <w:tcW w:w="958" w:type="dxa"/>
            <w:vAlign w:val="bottom"/>
          </w:tcPr>
          <w:p>
            <w:pPr>
              <w:pStyle w:val="0"/>
              <w:jc w:val="center"/>
            </w:pPr>
            <w:r>
              <w:rPr>
                <w:sz w:val="24"/>
              </w:rPr>
              <w:t xml:space="preserve">40</w:t>
            </w:r>
          </w:p>
        </w:tc>
        <w:tc>
          <w:tcPr>
            <w:tcW w:w="958" w:type="dxa"/>
            <w:vAlign w:val="bottom"/>
          </w:tcPr>
          <w:p>
            <w:pPr>
              <w:pStyle w:val="0"/>
              <w:jc w:val="center"/>
            </w:pPr>
            <w:r>
              <w:rPr>
                <w:sz w:val="24"/>
              </w:rPr>
              <w:t xml:space="preserve">40</w:t>
            </w:r>
          </w:p>
        </w:tc>
      </w:tr>
      <w:tr>
        <w:tc>
          <w:tcPr>
            <w:tcW w:w="3996" w:type="dxa"/>
          </w:tcPr>
          <w:p>
            <w:pPr>
              <w:pStyle w:val="0"/>
            </w:pPr>
            <w:r>
              <w:rPr>
                <w:sz w:val="24"/>
              </w:rPr>
              <w:t xml:space="preserve">Технологические установки категорий А и Б по взрывопожарной и пожарной опасности и факельные установки для сжигания газа</w:t>
            </w:r>
          </w:p>
        </w:tc>
        <w:tc>
          <w:tcPr>
            <w:tcW w:w="1041" w:type="dxa"/>
            <w:vAlign w:val="bottom"/>
          </w:tcPr>
          <w:p>
            <w:pPr>
              <w:pStyle w:val="0"/>
              <w:jc w:val="center"/>
            </w:pPr>
            <w:r>
              <w:rPr>
                <w:sz w:val="24"/>
              </w:rPr>
              <w:t xml:space="preserve">100</w:t>
            </w:r>
          </w:p>
        </w:tc>
        <w:tc>
          <w:tcPr>
            <w:tcW w:w="1053" w:type="dxa"/>
            <w:vAlign w:val="bottom"/>
          </w:tcPr>
          <w:p>
            <w:pPr>
              <w:pStyle w:val="0"/>
              <w:jc w:val="center"/>
            </w:pPr>
            <w:r>
              <w:rPr>
                <w:sz w:val="24"/>
              </w:rPr>
              <w:t xml:space="preserve">100</w:t>
            </w:r>
          </w:p>
        </w:tc>
        <w:tc>
          <w:tcPr>
            <w:tcW w:w="958" w:type="dxa"/>
            <w:vAlign w:val="bottom"/>
          </w:tcPr>
          <w:p>
            <w:pPr>
              <w:pStyle w:val="0"/>
              <w:jc w:val="center"/>
            </w:pPr>
            <w:r>
              <w:rPr>
                <w:sz w:val="24"/>
              </w:rPr>
              <w:t xml:space="preserve">100</w:t>
            </w:r>
          </w:p>
        </w:tc>
        <w:tc>
          <w:tcPr>
            <w:tcW w:w="958" w:type="dxa"/>
            <w:vAlign w:val="bottom"/>
          </w:tcPr>
          <w:p>
            <w:pPr>
              <w:pStyle w:val="0"/>
              <w:jc w:val="center"/>
            </w:pPr>
            <w:r>
              <w:rPr>
                <w:sz w:val="24"/>
              </w:rPr>
              <w:t xml:space="preserve">100</w:t>
            </w:r>
          </w:p>
        </w:tc>
        <w:tc>
          <w:tcPr>
            <w:tcW w:w="958" w:type="dxa"/>
            <w:vAlign w:val="bottom"/>
          </w:tcPr>
          <w:p>
            <w:pPr>
              <w:pStyle w:val="0"/>
              <w:jc w:val="center"/>
            </w:pPr>
            <w:r>
              <w:rPr>
                <w:sz w:val="24"/>
              </w:rPr>
              <w:t xml:space="preserve">100</w:t>
            </w:r>
          </w:p>
        </w:tc>
      </w:tr>
    </w:tbl>
    <w:p>
      <w:pPr>
        <w:pStyle w:val="0"/>
        <w:ind w:firstLine="540"/>
        <w:jc w:val="both"/>
      </w:pPr>
      <w:r>
        <w:rPr>
          <w:sz w:val="24"/>
        </w:rPr>
      </w:r>
    </w:p>
    <w:p>
      <w:pPr>
        <w:pStyle w:val="0"/>
        <w:ind w:firstLine="540"/>
        <w:jc w:val="both"/>
      </w:pPr>
      <w:r>
        <w:rPr>
          <w:sz w:val="24"/>
        </w:rPr>
        <w:t xml:space="preserve">Примечание. В скобках указаны значения для складов II категории общей вместимостью более 50 000 кубических метров.</w:t>
      </w:r>
    </w:p>
    <w:p>
      <w:pPr>
        <w:pStyle w:val="0"/>
        <w:ind w:firstLine="540"/>
        <w:jc w:val="both"/>
      </w:pPr>
      <w:r>
        <w:rPr>
          <w:sz w:val="24"/>
        </w:rPr>
      </w:r>
    </w:p>
    <w:p>
      <w:pPr>
        <w:pStyle w:val="0"/>
        <w:outlineLvl w:val="1"/>
        <w:jc w:val="center"/>
      </w:pPr>
      <w:r>
        <w:rPr>
          <w:sz w:val="24"/>
        </w:rPr>
        <w:t xml:space="preserve">Таблица 13</w:t>
      </w:r>
    </w:p>
    <w:p>
      <w:pPr>
        <w:pStyle w:val="0"/>
        <w:jc w:val="right"/>
      </w:pPr>
      <w:r>
        <w:rPr>
          <w:sz w:val="24"/>
        </w:rPr>
      </w:r>
    </w:p>
    <w:bookmarkStart w:id="2395" w:name="P2395"/>
    <w:bookmarkEnd w:id="2395"/>
    <w:p>
      <w:pPr>
        <w:pStyle w:val="2"/>
        <w:jc w:val="center"/>
      </w:pPr>
      <w:r>
        <w:rPr>
          <w:sz w:val="24"/>
        </w:rPr>
        <w:t xml:space="preserve">Противопожарные расстояния от зданий и сооружений</w:t>
      </w:r>
    </w:p>
    <w:p>
      <w:pPr>
        <w:pStyle w:val="2"/>
        <w:jc w:val="center"/>
      </w:pPr>
      <w:r>
        <w:rPr>
          <w:sz w:val="24"/>
        </w:rPr>
        <w:t xml:space="preserve">до складов горючих жидкостей</w:t>
      </w:r>
    </w:p>
    <w:p>
      <w:pPr>
        <w:pStyle w:val="0"/>
        <w:jc w:val="center"/>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83"/>
        <w:gridCol w:w="2088"/>
        <w:gridCol w:w="2088"/>
        <w:gridCol w:w="2005"/>
      </w:tblGrid>
      <w:tr>
        <w:tc>
          <w:tcPr>
            <w:tcW w:w="2783" w:type="dxa"/>
            <w:vMerge w:val="restart"/>
          </w:tcPr>
          <w:p>
            <w:pPr>
              <w:pStyle w:val="0"/>
              <w:jc w:val="center"/>
            </w:pPr>
            <w:r>
              <w:rPr>
                <w:sz w:val="24"/>
              </w:rPr>
              <w:t xml:space="preserve">Вместимость склада, кубические метры</w:t>
            </w:r>
          </w:p>
        </w:tc>
        <w:tc>
          <w:tcPr>
            <w:gridSpan w:val="3"/>
            <w:tcW w:w="6181" w:type="dxa"/>
          </w:tcPr>
          <w:p>
            <w:pPr>
              <w:pStyle w:val="0"/>
              <w:jc w:val="center"/>
            </w:pPr>
            <w:r>
              <w:rPr>
                <w:sz w:val="24"/>
              </w:rPr>
              <w:t xml:space="preserve">Противопожарные расстояния при степени огнестойкости зданий и сооружений, метры</w:t>
            </w:r>
          </w:p>
        </w:tc>
      </w:tr>
      <w:tr>
        <w:tc>
          <w:tcPr>
            <w:vMerge w:val="continue"/>
          </w:tcPr>
          <w:p/>
        </w:tc>
        <w:tc>
          <w:tcPr>
            <w:tcW w:w="2088" w:type="dxa"/>
          </w:tcPr>
          <w:p>
            <w:pPr>
              <w:pStyle w:val="0"/>
              <w:jc w:val="center"/>
            </w:pPr>
            <w:r>
              <w:rPr>
                <w:sz w:val="24"/>
              </w:rPr>
              <w:t xml:space="preserve">I, II</w:t>
            </w:r>
          </w:p>
        </w:tc>
        <w:tc>
          <w:tcPr>
            <w:tcW w:w="2088" w:type="dxa"/>
          </w:tcPr>
          <w:p>
            <w:pPr>
              <w:pStyle w:val="0"/>
              <w:jc w:val="center"/>
            </w:pPr>
            <w:r>
              <w:rPr>
                <w:sz w:val="24"/>
              </w:rPr>
              <w:t xml:space="preserve">III</w:t>
            </w:r>
          </w:p>
        </w:tc>
        <w:tc>
          <w:tcPr>
            <w:tcW w:w="2005" w:type="dxa"/>
          </w:tcPr>
          <w:p>
            <w:pPr>
              <w:pStyle w:val="0"/>
              <w:jc w:val="center"/>
            </w:pPr>
            <w:r>
              <w:rPr>
                <w:sz w:val="24"/>
              </w:rPr>
              <w:t xml:space="preserve">IV, V</w:t>
            </w:r>
          </w:p>
        </w:tc>
      </w:tr>
      <w:tr>
        <w:tc>
          <w:tcPr>
            <w:tcW w:w="2783" w:type="dxa"/>
          </w:tcPr>
          <w:p>
            <w:pPr>
              <w:pStyle w:val="0"/>
            </w:pPr>
            <w:r>
              <w:rPr>
                <w:sz w:val="24"/>
              </w:rPr>
              <w:t xml:space="preserve">Не более 100</w:t>
            </w:r>
          </w:p>
        </w:tc>
        <w:tc>
          <w:tcPr>
            <w:tcW w:w="2088" w:type="dxa"/>
          </w:tcPr>
          <w:p>
            <w:pPr>
              <w:pStyle w:val="0"/>
              <w:jc w:val="center"/>
            </w:pPr>
            <w:r>
              <w:rPr>
                <w:sz w:val="24"/>
              </w:rPr>
              <w:t xml:space="preserve">20</w:t>
            </w:r>
          </w:p>
        </w:tc>
        <w:tc>
          <w:tcPr>
            <w:tcW w:w="2088" w:type="dxa"/>
          </w:tcPr>
          <w:p>
            <w:pPr>
              <w:pStyle w:val="0"/>
              <w:jc w:val="center"/>
            </w:pPr>
            <w:r>
              <w:rPr>
                <w:sz w:val="24"/>
              </w:rPr>
              <w:t xml:space="preserve">25</w:t>
            </w:r>
          </w:p>
        </w:tc>
        <w:tc>
          <w:tcPr>
            <w:tcW w:w="2005" w:type="dxa"/>
          </w:tcPr>
          <w:p>
            <w:pPr>
              <w:pStyle w:val="0"/>
              <w:jc w:val="center"/>
            </w:pPr>
            <w:r>
              <w:rPr>
                <w:sz w:val="24"/>
              </w:rPr>
              <w:t xml:space="preserve">30</w:t>
            </w:r>
          </w:p>
        </w:tc>
      </w:tr>
      <w:tr>
        <w:tc>
          <w:tcPr>
            <w:tcW w:w="2783" w:type="dxa"/>
          </w:tcPr>
          <w:p>
            <w:pPr>
              <w:pStyle w:val="0"/>
            </w:pPr>
            <w:r>
              <w:rPr>
                <w:sz w:val="24"/>
              </w:rPr>
              <w:t xml:space="preserve">Более 100, но не более 800</w:t>
            </w:r>
          </w:p>
        </w:tc>
        <w:tc>
          <w:tcPr>
            <w:tcW w:w="2088" w:type="dxa"/>
            <w:vAlign w:val="bottom"/>
          </w:tcPr>
          <w:p>
            <w:pPr>
              <w:pStyle w:val="0"/>
              <w:jc w:val="center"/>
            </w:pPr>
            <w:r>
              <w:rPr>
                <w:sz w:val="24"/>
              </w:rPr>
              <w:t xml:space="preserve">30</w:t>
            </w:r>
          </w:p>
        </w:tc>
        <w:tc>
          <w:tcPr>
            <w:tcW w:w="2088" w:type="dxa"/>
            <w:vAlign w:val="bottom"/>
          </w:tcPr>
          <w:p>
            <w:pPr>
              <w:pStyle w:val="0"/>
              <w:jc w:val="center"/>
            </w:pPr>
            <w:r>
              <w:rPr>
                <w:sz w:val="24"/>
              </w:rPr>
              <w:t xml:space="preserve">35</w:t>
            </w:r>
          </w:p>
        </w:tc>
        <w:tc>
          <w:tcPr>
            <w:tcW w:w="2005" w:type="dxa"/>
            <w:vAlign w:val="bottom"/>
          </w:tcPr>
          <w:p>
            <w:pPr>
              <w:pStyle w:val="0"/>
              <w:jc w:val="center"/>
            </w:pPr>
            <w:r>
              <w:rPr>
                <w:sz w:val="24"/>
              </w:rPr>
              <w:t xml:space="preserve">40</w:t>
            </w:r>
          </w:p>
        </w:tc>
      </w:tr>
      <w:tr>
        <w:tc>
          <w:tcPr>
            <w:tcW w:w="2783" w:type="dxa"/>
          </w:tcPr>
          <w:p>
            <w:pPr>
              <w:pStyle w:val="0"/>
            </w:pPr>
            <w:r>
              <w:rPr>
                <w:sz w:val="24"/>
              </w:rPr>
              <w:t xml:space="preserve">Более 800, но не более 2000</w:t>
            </w:r>
          </w:p>
        </w:tc>
        <w:tc>
          <w:tcPr>
            <w:tcW w:w="2088" w:type="dxa"/>
            <w:vAlign w:val="bottom"/>
          </w:tcPr>
          <w:p>
            <w:pPr>
              <w:pStyle w:val="0"/>
              <w:jc w:val="center"/>
            </w:pPr>
            <w:r>
              <w:rPr>
                <w:sz w:val="24"/>
              </w:rPr>
              <w:t xml:space="preserve">40</w:t>
            </w:r>
          </w:p>
        </w:tc>
        <w:tc>
          <w:tcPr>
            <w:tcW w:w="2088" w:type="dxa"/>
            <w:vAlign w:val="bottom"/>
          </w:tcPr>
          <w:p>
            <w:pPr>
              <w:pStyle w:val="0"/>
              <w:jc w:val="center"/>
            </w:pPr>
            <w:r>
              <w:rPr>
                <w:sz w:val="24"/>
              </w:rPr>
              <w:t xml:space="preserve">45</w:t>
            </w:r>
          </w:p>
        </w:tc>
        <w:tc>
          <w:tcPr>
            <w:tcW w:w="2005" w:type="dxa"/>
            <w:vAlign w:val="bottom"/>
          </w:tcPr>
          <w:p>
            <w:pPr>
              <w:pStyle w:val="0"/>
              <w:jc w:val="center"/>
            </w:pPr>
            <w:r>
              <w:rPr>
                <w:sz w:val="24"/>
              </w:rPr>
              <w:t xml:space="preserve">50</w:t>
            </w:r>
          </w:p>
        </w:tc>
      </w:tr>
    </w:tbl>
    <w:p>
      <w:pPr>
        <w:pStyle w:val="0"/>
        <w:jc w:val="both"/>
      </w:pPr>
      <w:r>
        <w:rPr>
          <w:sz w:val="24"/>
        </w:rPr>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outlineLvl w:val="1"/>
        <w:jc w:val="center"/>
      </w:pPr>
      <w:r>
        <w:rPr>
          <w:sz w:val="24"/>
        </w:rPr>
        <w:t xml:space="preserve">Таблица 14</w:t>
      </w:r>
    </w:p>
    <w:p>
      <w:pPr>
        <w:pStyle w:val="0"/>
        <w:jc w:val="right"/>
      </w:pPr>
      <w:r>
        <w:rPr>
          <w:sz w:val="24"/>
        </w:rPr>
      </w:r>
    </w:p>
    <w:bookmarkStart w:id="2421" w:name="P2421"/>
    <w:bookmarkEnd w:id="2421"/>
    <w:p>
      <w:pPr>
        <w:pStyle w:val="2"/>
        <w:jc w:val="center"/>
      </w:pPr>
      <w:r>
        <w:rPr>
          <w:sz w:val="24"/>
        </w:rPr>
        <w:t xml:space="preserve">Категории складов для хранения нефти и нефтепродуктов</w:t>
      </w:r>
    </w:p>
    <w:p>
      <w:pPr>
        <w:pStyle w:val="0"/>
        <w:jc w:val="right"/>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35"/>
        <w:gridCol w:w="3165"/>
        <w:gridCol w:w="4064"/>
      </w:tblGrid>
      <w:tr>
        <w:tc>
          <w:tcPr>
            <w:tcW w:w="1735" w:type="dxa"/>
          </w:tcPr>
          <w:p>
            <w:pPr>
              <w:pStyle w:val="0"/>
              <w:jc w:val="center"/>
            </w:pPr>
            <w:r>
              <w:rPr>
                <w:sz w:val="24"/>
              </w:rPr>
              <w:t xml:space="preserve">Категория склада</w:t>
            </w:r>
          </w:p>
        </w:tc>
        <w:tc>
          <w:tcPr>
            <w:tcW w:w="3165" w:type="dxa"/>
          </w:tcPr>
          <w:p>
            <w:pPr>
              <w:pStyle w:val="0"/>
              <w:jc w:val="center"/>
            </w:pPr>
            <w:r>
              <w:rPr>
                <w:sz w:val="24"/>
              </w:rPr>
              <w:t xml:space="preserve">Максимальный объем одного резервуара, кубические метры</w:t>
            </w:r>
          </w:p>
        </w:tc>
        <w:tc>
          <w:tcPr>
            <w:tcW w:w="4064" w:type="dxa"/>
          </w:tcPr>
          <w:p>
            <w:pPr>
              <w:pStyle w:val="0"/>
              <w:jc w:val="center"/>
            </w:pPr>
            <w:r>
              <w:rPr>
                <w:sz w:val="24"/>
              </w:rPr>
              <w:t xml:space="preserve">Общая вместимость склада, кубические метры</w:t>
            </w:r>
          </w:p>
        </w:tc>
      </w:tr>
      <w:tr>
        <w:tc>
          <w:tcPr>
            <w:tcW w:w="1735" w:type="dxa"/>
          </w:tcPr>
          <w:p>
            <w:pPr>
              <w:pStyle w:val="0"/>
              <w:jc w:val="center"/>
            </w:pPr>
            <w:r>
              <w:rPr>
                <w:sz w:val="24"/>
              </w:rPr>
              <w:t xml:space="preserve">I</w:t>
            </w:r>
          </w:p>
        </w:tc>
        <w:tc>
          <w:tcPr>
            <w:tcW w:w="3165" w:type="dxa"/>
          </w:tcPr>
          <w:p>
            <w:pPr>
              <w:pStyle w:val="0"/>
              <w:jc w:val="center"/>
            </w:pPr>
            <w:r>
              <w:rPr>
                <w:sz w:val="24"/>
              </w:rPr>
              <w:t xml:space="preserve">-</w:t>
            </w:r>
          </w:p>
        </w:tc>
        <w:tc>
          <w:tcPr>
            <w:tcW w:w="4064" w:type="dxa"/>
          </w:tcPr>
          <w:p>
            <w:pPr>
              <w:pStyle w:val="0"/>
              <w:jc w:val="center"/>
            </w:pPr>
            <w:r>
              <w:rPr>
                <w:sz w:val="24"/>
              </w:rPr>
              <w:t xml:space="preserve">более 100 000</w:t>
            </w:r>
          </w:p>
        </w:tc>
      </w:tr>
      <w:tr>
        <w:tc>
          <w:tcPr>
            <w:tcW w:w="1735" w:type="dxa"/>
          </w:tcPr>
          <w:p>
            <w:pPr>
              <w:pStyle w:val="0"/>
              <w:jc w:val="center"/>
            </w:pPr>
            <w:r>
              <w:rPr>
                <w:sz w:val="24"/>
              </w:rPr>
              <w:t xml:space="preserve">II</w:t>
            </w:r>
          </w:p>
        </w:tc>
        <w:tc>
          <w:tcPr>
            <w:tcW w:w="3165" w:type="dxa"/>
          </w:tcPr>
          <w:p>
            <w:pPr>
              <w:pStyle w:val="0"/>
              <w:jc w:val="center"/>
            </w:pPr>
            <w:r>
              <w:rPr>
                <w:sz w:val="24"/>
              </w:rPr>
              <w:t xml:space="preserve">-</w:t>
            </w:r>
          </w:p>
        </w:tc>
        <w:tc>
          <w:tcPr>
            <w:tcW w:w="4064" w:type="dxa"/>
          </w:tcPr>
          <w:p>
            <w:pPr>
              <w:pStyle w:val="0"/>
              <w:jc w:val="center"/>
            </w:pPr>
            <w:r>
              <w:rPr>
                <w:sz w:val="24"/>
              </w:rPr>
              <w:t xml:space="preserve">более 20 000, но не более 100 000</w:t>
            </w:r>
          </w:p>
        </w:tc>
      </w:tr>
      <w:tr>
        <w:tc>
          <w:tcPr>
            <w:tcW w:w="1735" w:type="dxa"/>
          </w:tcPr>
          <w:p>
            <w:pPr>
              <w:pStyle w:val="0"/>
              <w:jc w:val="center"/>
            </w:pPr>
            <w:r>
              <w:rPr>
                <w:sz w:val="24"/>
              </w:rPr>
              <w:t xml:space="preserve">IIIа</w:t>
            </w:r>
          </w:p>
        </w:tc>
        <w:tc>
          <w:tcPr>
            <w:tcW w:w="3165" w:type="dxa"/>
          </w:tcPr>
          <w:p>
            <w:pPr>
              <w:pStyle w:val="0"/>
              <w:jc w:val="center"/>
            </w:pPr>
            <w:r>
              <w:rPr>
                <w:sz w:val="24"/>
              </w:rPr>
              <w:t xml:space="preserve">не более 5000</w:t>
            </w:r>
          </w:p>
        </w:tc>
        <w:tc>
          <w:tcPr>
            <w:tcW w:w="4064" w:type="dxa"/>
          </w:tcPr>
          <w:p>
            <w:pPr>
              <w:pStyle w:val="0"/>
              <w:jc w:val="center"/>
            </w:pPr>
            <w:r>
              <w:rPr>
                <w:sz w:val="24"/>
              </w:rPr>
              <w:t xml:space="preserve">более 10 000, но не более 20 000</w:t>
            </w:r>
          </w:p>
        </w:tc>
      </w:tr>
      <w:tr>
        <w:tc>
          <w:tcPr>
            <w:tcW w:w="1735" w:type="dxa"/>
          </w:tcPr>
          <w:p>
            <w:pPr>
              <w:pStyle w:val="0"/>
              <w:jc w:val="center"/>
            </w:pPr>
            <w:r>
              <w:rPr>
                <w:sz w:val="24"/>
              </w:rPr>
              <w:t xml:space="preserve">IIIб</w:t>
            </w:r>
          </w:p>
        </w:tc>
        <w:tc>
          <w:tcPr>
            <w:tcW w:w="3165" w:type="dxa"/>
          </w:tcPr>
          <w:p>
            <w:pPr>
              <w:pStyle w:val="0"/>
              <w:jc w:val="center"/>
            </w:pPr>
            <w:r>
              <w:rPr>
                <w:sz w:val="24"/>
              </w:rPr>
              <w:t xml:space="preserve">не более 2000</w:t>
            </w:r>
          </w:p>
        </w:tc>
        <w:tc>
          <w:tcPr>
            <w:tcW w:w="4064" w:type="dxa"/>
          </w:tcPr>
          <w:p>
            <w:pPr>
              <w:pStyle w:val="0"/>
              <w:jc w:val="center"/>
            </w:pPr>
            <w:r>
              <w:rPr>
                <w:sz w:val="24"/>
              </w:rPr>
              <w:t xml:space="preserve">более 2000, но не более 10 000</w:t>
            </w:r>
          </w:p>
        </w:tc>
      </w:tr>
      <w:tr>
        <w:tc>
          <w:tcPr>
            <w:tcW w:w="1735" w:type="dxa"/>
          </w:tcPr>
          <w:p>
            <w:pPr>
              <w:pStyle w:val="0"/>
              <w:jc w:val="center"/>
            </w:pPr>
            <w:r>
              <w:rPr>
                <w:sz w:val="24"/>
              </w:rPr>
              <w:t xml:space="preserve">IIIв</w:t>
            </w:r>
          </w:p>
        </w:tc>
        <w:tc>
          <w:tcPr>
            <w:tcW w:w="3165" w:type="dxa"/>
          </w:tcPr>
          <w:p>
            <w:pPr>
              <w:pStyle w:val="0"/>
              <w:jc w:val="center"/>
            </w:pPr>
            <w:r>
              <w:rPr>
                <w:sz w:val="24"/>
              </w:rPr>
              <w:t xml:space="preserve">не более 700</w:t>
            </w:r>
          </w:p>
        </w:tc>
        <w:tc>
          <w:tcPr>
            <w:tcW w:w="4064" w:type="dxa"/>
          </w:tcPr>
          <w:p>
            <w:pPr>
              <w:pStyle w:val="0"/>
              <w:jc w:val="center"/>
            </w:pPr>
            <w:r>
              <w:rPr>
                <w:sz w:val="24"/>
              </w:rPr>
              <w:t xml:space="preserve">не более 2000</w:t>
            </w:r>
          </w:p>
        </w:tc>
      </w:tr>
    </w:tbl>
    <w:p>
      <w:pPr>
        <w:pStyle w:val="0"/>
        <w:jc w:val="right"/>
      </w:pPr>
      <w:r>
        <w:rPr>
          <w:sz w:val="24"/>
        </w:rPr>
      </w:r>
    </w:p>
    <w:bookmarkStart w:id="2442" w:name="P2442"/>
    <w:bookmarkEnd w:id="2442"/>
    <w:p>
      <w:pPr>
        <w:pStyle w:val="0"/>
        <w:outlineLvl w:val="1"/>
        <w:jc w:val="center"/>
      </w:pPr>
      <w:r>
        <w:rPr>
          <w:sz w:val="24"/>
        </w:rPr>
        <w:t xml:space="preserve">Таблица 15</w:t>
      </w:r>
    </w:p>
    <w:p>
      <w:pPr>
        <w:pStyle w:val="0"/>
        <w:ind w:firstLine="540"/>
        <w:jc w:val="both"/>
      </w:pPr>
      <w:r>
        <w:rPr>
          <w:sz w:val="24"/>
        </w:rPr>
      </w:r>
    </w:p>
    <w:bookmarkStart w:id="2444" w:name="P2444"/>
    <w:bookmarkEnd w:id="2444"/>
    <w:p>
      <w:pPr>
        <w:pStyle w:val="2"/>
        <w:jc w:val="center"/>
      </w:pPr>
      <w:r>
        <w:rPr>
          <w:sz w:val="24"/>
        </w:rPr>
        <w:t xml:space="preserve">Противопожарные расстояния от автозаправочных станций</w:t>
      </w:r>
    </w:p>
    <w:p>
      <w:pPr>
        <w:pStyle w:val="2"/>
        <w:jc w:val="center"/>
      </w:pPr>
      <w:r>
        <w:rPr>
          <w:sz w:val="24"/>
        </w:rPr>
        <w:t xml:space="preserve">бензина и дизельного топлива до граничащих с ними объектов</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2381"/>
        <w:gridCol w:w="1870"/>
        <w:gridCol w:w="1870"/>
      </w:tblGrid>
      <w:tr>
        <w:tc>
          <w:tcPr>
            <w:tcW w:w="2948" w:type="dxa"/>
            <w:vMerge w:val="restart"/>
          </w:tcPr>
          <w:p>
            <w:pPr>
              <w:pStyle w:val="0"/>
              <w:jc w:val="center"/>
            </w:pPr>
            <w:r>
              <w:rPr>
                <w:sz w:val="24"/>
              </w:rPr>
              <w:t xml:space="preserve">Наименования объектов, до которых определяются противопожарные расстояния</w:t>
            </w:r>
          </w:p>
        </w:tc>
        <w:tc>
          <w:tcPr>
            <w:tcW w:w="2381" w:type="dxa"/>
            <w:vMerge w:val="restart"/>
          </w:tcPr>
          <w:p>
            <w:pPr>
              <w:pStyle w:val="0"/>
              <w:jc w:val="center"/>
            </w:pPr>
            <w:r>
              <w:rPr>
                <w:sz w:val="24"/>
              </w:rPr>
              <w:t xml:space="preserve">Противопожарные расстояния от автозаправочных станций с подземными резервуарами, метры</w:t>
            </w:r>
          </w:p>
        </w:tc>
        <w:tc>
          <w:tcPr>
            <w:gridSpan w:val="2"/>
            <w:tcW w:w="3740" w:type="dxa"/>
          </w:tcPr>
          <w:p>
            <w:pPr>
              <w:pStyle w:val="0"/>
              <w:jc w:val="center"/>
            </w:pPr>
            <w:r>
              <w:rPr>
                <w:sz w:val="24"/>
              </w:rPr>
              <w:t xml:space="preserve">Противопожарные расстояния от автозаправочных станций с надземными резервуарами, метры</w:t>
            </w:r>
          </w:p>
        </w:tc>
      </w:tr>
      <w:tr>
        <w:tc>
          <w:tcPr>
            <w:vMerge w:val="continue"/>
          </w:tcPr>
          <w:p/>
        </w:tc>
        <w:tc>
          <w:tcPr>
            <w:vMerge w:val="continue"/>
          </w:tcPr>
          <w:p/>
        </w:tc>
        <w:tc>
          <w:tcPr>
            <w:tcW w:w="1870" w:type="dxa"/>
          </w:tcPr>
          <w:p>
            <w:pPr>
              <w:pStyle w:val="0"/>
              <w:jc w:val="center"/>
            </w:pPr>
            <w:r>
              <w:rPr>
                <w:sz w:val="24"/>
              </w:rPr>
              <w:t xml:space="preserve">общей вместимостью более 20 кубических метров</w:t>
            </w:r>
          </w:p>
        </w:tc>
        <w:tc>
          <w:tcPr>
            <w:tcW w:w="1870" w:type="dxa"/>
          </w:tcPr>
          <w:p>
            <w:pPr>
              <w:pStyle w:val="0"/>
              <w:jc w:val="center"/>
            </w:pPr>
            <w:r>
              <w:rPr>
                <w:sz w:val="24"/>
              </w:rPr>
              <w:t xml:space="preserve">общей вместимостью не более 20 кубических метров</w:t>
            </w:r>
          </w:p>
        </w:tc>
      </w:tr>
      <w:tr>
        <w:tblPrEx>
          <w:tblBorders>
            <w:insideH w:val="nil"/>
          </w:tblBorders>
        </w:tblPrEx>
        <w:tc>
          <w:tcPr>
            <w:tcW w:w="2948" w:type="dxa"/>
            <w:tcBorders>
              <w:bottom w:val="nil"/>
            </w:tcBorders>
          </w:tcPr>
          <w:p>
            <w:pPr>
              <w:pStyle w:val="0"/>
            </w:pPr>
            <w:r>
              <w:rPr>
                <w:sz w:val="24"/>
              </w:rPr>
              <w:t xml:space="preserve">Производственные, складские и административно-бытовые здания и сооружения промышленных организаций</w:t>
            </w:r>
          </w:p>
        </w:tc>
        <w:tc>
          <w:tcPr>
            <w:tcW w:w="2381" w:type="dxa"/>
            <w:vAlign w:val="bottom"/>
            <w:tcBorders>
              <w:bottom w:val="nil"/>
            </w:tcBorders>
          </w:tcPr>
          <w:p>
            <w:pPr>
              <w:pStyle w:val="0"/>
              <w:jc w:val="center"/>
            </w:pPr>
            <w:r>
              <w:rPr>
                <w:sz w:val="24"/>
              </w:rPr>
              <w:t xml:space="preserve">15</w:t>
            </w:r>
          </w:p>
        </w:tc>
        <w:tc>
          <w:tcPr>
            <w:tcW w:w="1870" w:type="dxa"/>
            <w:vAlign w:val="bottom"/>
            <w:tcBorders>
              <w:bottom w:val="nil"/>
            </w:tcBorders>
          </w:tcPr>
          <w:p>
            <w:pPr>
              <w:pStyle w:val="0"/>
              <w:jc w:val="center"/>
            </w:pPr>
            <w:r>
              <w:rPr>
                <w:sz w:val="24"/>
              </w:rPr>
              <w:t xml:space="preserve">25</w:t>
            </w:r>
          </w:p>
        </w:tc>
        <w:tc>
          <w:tcPr>
            <w:tcW w:w="1870" w:type="dxa"/>
            <w:vAlign w:val="bottom"/>
            <w:tcBorders>
              <w:bottom w:val="nil"/>
            </w:tcBorders>
          </w:tcPr>
          <w:p>
            <w:pPr>
              <w:pStyle w:val="0"/>
              <w:jc w:val="center"/>
            </w:pPr>
            <w:r>
              <w:rPr>
                <w:sz w:val="24"/>
              </w:rPr>
              <w:t xml:space="preserve">25</w:t>
            </w:r>
          </w:p>
        </w:tc>
      </w:tr>
      <w:tr>
        <w:tblPrEx>
          <w:tblBorders>
            <w:insideH w:val="nil"/>
          </w:tblBorders>
        </w:tblPrEx>
        <w:tc>
          <w:tcPr>
            <w:gridSpan w:val="4"/>
            <w:tcW w:w="9069" w:type="dxa"/>
            <w:tcBorders>
              <w:top w:val="nil"/>
            </w:tcBorders>
          </w:tcPr>
          <w:p>
            <w:pPr>
              <w:pStyle w:val="0"/>
              <w:jc w:val="both"/>
            </w:pPr>
            <w:r>
              <w:rPr>
                <w:sz w:val="24"/>
              </w:rPr>
              <w:t xml:space="preserve">(в ред. Федерального </w:t>
            </w:r>
            <w:r>
              <w:rPr>
                <w:sz w:val="24"/>
              </w:rPr>
              <w:t xml:space="preserve">закона</w:t>
            </w:r>
            <w:r>
              <w:rPr>
                <w:sz w:val="24"/>
              </w:rPr>
              <w:t xml:space="preserve"> от 10.07.2012 N 117-ФЗ)</w:t>
            </w:r>
          </w:p>
        </w:tc>
      </w:tr>
      <w:tr>
        <w:tblPrEx>
          <w:tblBorders>
            <w:insideH w:val="nil"/>
          </w:tblBorders>
        </w:tblPrEx>
        <w:tc>
          <w:tcPr>
            <w:tcW w:w="2948" w:type="dxa"/>
            <w:tcBorders>
              <w:bottom w:val="nil"/>
            </w:tcBorders>
          </w:tcPr>
          <w:p>
            <w:pPr>
              <w:pStyle w:val="0"/>
            </w:pPr>
            <w:r>
              <w:rPr>
                <w:sz w:val="24"/>
              </w:rPr>
              <w:t xml:space="preserve">Лесничества с лесными насаждениями:</w:t>
            </w:r>
          </w:p>
        </w:tc>
        <w:tc>
          <w:tcPr>
            <w:tcW w:w="2381" w:type="dxa"/>
            <w:tcBorders>
              <w:bottom w:val="nil"/>
            </w:tcBorders>
          </w:tcPr>
          <w:p>
            <w:pPr>
              <w:pStyle w:val="0"/>
              <w:jc w:val="both"/>
            </w:pPr>
            <w:r>
              <w:rPr>
                <w:sz w:val="24"/>
              </w:rPr>
            </w:r>
          </w:p>
        </w:tc>
        <w:tc>
          <w:tcPr>
            <w:tcW w:w="1870" w:type="dxa"/>
            <w:tcBorders>
              <w:bottom w:val="nil"/>
            </w:tcBorders>
          </w:tcPr>
          <w:p>
            <w:pPr>
              <w:pStyle w:val="0"/>
              <w:jc w:val="both"/>
            </w:pPr>
            <w:r>
              <w:rPr>
                <w:sz w:val="24"/>
              </w:rPr>
            </w:r>
          </w:p>
        </w:tc>
        <w:tc>
          <w:tcPr>
            <w:tcW w:w="1870" w:type="dxa"/>
            <w:tcBorders>
              <w:bottom w:val="nil"/>
            </w:tcBorders>
          </w:tcPr>
          <w:p>
            <w:pPr>
              <w:pStyle w:val="0"/>
              <w:jc w:val="both"/>
            </w:pPr>
            <w:r>
              <w:rPr>
                <w:sz w:val="24"/>
              </w:rPr>
            </w:r>
          </w:p>
        </w:tc>
      </w:tr>
      <w:tr>
        <w:tblPrEx>
          <w:tblBorders>
            <w:insideH w:val="nil"/>
          </w:tblBorders>
        </w:tblPrEx>
        <w:tc>
          <w:tcPr>
            <w:gridSpan w:val="4"/>
            <w:tcW w:w="9069" w:type="dxa"/>
            <w:tcBorders>
              <w:top w:val="nil"/>
              <w:bottom w:val="nil"/>
            </w:tcBorders>
          </w:tcPr>
          <w:p>
            <w:pPr>
              <w:pStyle w:val="0"/>
              <w:jc w:val="both"/>
            </w:pPr>
            <w:r>
              <w:rPr>
                <w:sz w:val="24"/>
              </w:rPr>
              <w:t xml:space="preserve">(в ред. Федеральных законов от 10.07.2012 </w:t>
            </w:r>
            <w:r>
              <w:rPr>
                <w:sz w:val="24"/>
              </w:rPr>
              <w:t xml:space="preserve">N 117-ФЗ</w:t>
            </w:r>
            <w:r>
              <w:rPr>
                <w:sz w:val="24"/>
              </w:rPr>
              <w:t xml:space="preserve">, от 27.12.2018 </w:t>
            </w:r>
            <w:r>
              <w:rPr>
                <w:sz w:val="24"/>
              </w:rPr>
              <w:t xml:space="preserve">N 538-ФЗ</w:t>
            </w:r>
            <w:r>
              <w:rPr>
                <w:sz w:val="24"/>
              </w:rPr>
              <w:t xml:space="preserve">)</w:t>
            </w:r>
          </w:p>
        </w:tc>
      </w:tr>
      <w:tr>
        <w:tblPrEx>
          <w:tblBorders>
            <w:insideH w:val="nil"/>
          </w:tblBorders>
        </w:tblPrEx>
        <w:tc>
          <w:tcPr>
            <w:tcW w:w="2948" w:type="dxa"/>
            <w:tcBorders>
              <w:top w:val="nil"/>
              <w:bottom w:val="nil"/>
            </w:tcBorders>
          </w:tcPr>
          <w:p>
            <w:pPr>
              <w:pStyle w:val="0"/>
              <w:ind w:left="283"/>
            </w:pPr>
            <w:r>
              <w:rPr>
                <w:sz w:val="24"/>
              </w:rPr>
              <w:t xml:space="preserve">хвойных и смешанных пород</w:t>
            </w:r>
          </w:p>
        </w:tc>
        <w:tc>
          <w:tcPr>
            <w:tcW w:w="2381" w:type="dxa"/>
            <w:vAlign w:val="bottom"/>
            <w:tcBorders>
              <w:top w:val="nil"/>
              <w:bottom w:val="nil"/>
            </w:tcBorders>
          </w:tcPr>
          <w:p>
            <w:pPr>
              <w:pStyle w:val="0"/>
              <w:jc w:val="center"/>
            </w:pPr>
            <w:r>
              <w:rPr>
                <w:sz w:val="24"/>
              </w:rPr>
              <w:t xml:space="preserve">25</w:t>
            </w:r>
          </w:p>
        </w:tc>
        <w:tc>
          <w:tcPr>
            <w:tcW w:w="1870" w:type="dxa"/>
            <w:vAlign w:val="bottom"/>
            <w:tcBorders>
              <w:top w:val="nil"/>
              <w:bottom w:val="nil"/>
            </w:tcBorders>
          </w:tcPr>
          <w:p>
            <w:pPr>
              <w:pStyle w:val="0"/>
              <w:jc w:val="center"/>
            </w:pPr>
            <w:r>
              <w:rPr>
                <w:sz w:val="24"/>
              </w:rPr>
              <w:t xml:space="preserve">40</w:t>
            </w:r>
          </w:p>
        </w:tc>
        <w:tc>
          <w:tcPr>
            <w:tcW w:w="1870" w:type="dxa"/>
            <w:vAlign w:val="bottom"/>
            <w:tcBorders>
              <w:top w:val="nil"/>
              <w:bottom w:val="nil"/>
            </w:tcBorders>
          </w:tcPr>
          <w:p>
            <w:pPr>
              <w:pStyle w:val="0"/>
              <w:jc w:val="center"/>
            </w:pPr>
            <w:r>
              <w:rPr>
                <w:sz w:val="24"/>
              </w:rPr>
              <w:t xml:space="preserve">30</w:t>
            </w:r>
          </w:p>
        </w:tc>
      </w:tr>
      <w:tr>
        <w:tblPrEx>
          <w:tblBorders>
            <w:insideH w:val="nil"/>
          </w:tblBorders>
        </w:tblPrEx>
        <w:tc>
          <w:tcPr>
            <w:tcW w:w="2948" w:type="dxa"/>
            <w:tcBorders>
              <w:top w:val="nil"/>
            </w:tcBorders>
          </w:tcPr>
          <w:p>
            <w:pPr>
              <w:pStyle w:val="0"/>
              <w:ind w:left="283"/>
            </w:pPr>
            <w:r>
              <w:rPr>
                <w:sz w:val="24"/>
              </w:rPr>
              <w:t xml:space="preserve">лиственных пород</w:t>
            </w:r>
          </w:p>
        </w:tc>
        <w:tc>
          <w:tcPr>
            <w:tcW w:w="2381" w:type="dxa"/>
            <w:vAlign w:val="bottom"/>
            <w:tcBorders>
              <w:top w:val="nil"/>
            </w:tcBorders>
          </w:tcPr>
          <w:p>
            <w:pPr>
              <w:pStyle w:val="0"/>
              <w:jc w:val="center"/>
            </w:pPr>
            <w:r>
              <w:rPr>
                <w:sz w:val="24"/>
              </w:rPr>
              <w:t xml:space="preserve">10</w:t>
            </w:r>
          </w:p>
        </w:tc>
        <w:tc>
          <w:tcPr>
            <w:tcW w:w="1870" w:type="dxa"/>
            <w:vAlign w:val="bottom"/>
            <w:tcBorders>
              <w:top w:val="nil"/>
            </w:tcBorders>
          </w:tcPr>
          <w:p>
            <w:pPr>
              <w:pStyle w:val="0"/>
              <w:jc w:val="center"/>
            </w:pPr>
            <w:r>
              <w:rPr>
                <w:sz w:val="24"/>
              </w:rPr>
              <w:t xml:space="preserve">15</w:t>
            </w:r>
          </w:p>
        </w:tc>
        <w:tc>
          <w:tcPr>
            <w:tcW w:w="1870" w:type="dxa"/>
            <w:vAlign w:val="bottom"/>
            <w:tcBorders>
              <w:top w:val="nil"/>
            </w:tcBorders>
          </w:tcPr>
          <w:p>
            <w:pPr>
              <w:pStyle w:val="0"/>
              <w:jc w:val="center"/>
            </w:pPr>
            <w:r>
              <w:rPr>
                <w:sz w:val="24"/>
              </w:rPr>
              <w:t xml:space="preserve">12</w:t>
            </w:r>
          </w:p>
        </w:tc>
      </w:tr>
      <w:tr>
        <w:tc>
          <w:tcPr>
            <w:tcW w:w="2948" w:type="dxa"/>
          </w:tcPr>
          <w:p>
            <w:pPr>
              <w:pStyle w:val="0"/>
            </w:pPr>
            <w:r>
              <w:rPr>
                <w:sz w:val="24"/>
              </w:rPr>
              <w:t xml:space="preserve">Жилые и общественные здания</w:t>
            </w:r>
          </w:p>
        </w:tc>
        <w:tc>
          <w:tcPr>
            <w:tcW w:w="2381" w:type="dxa"/>
            <w:vAlign w:val="bottom"/>
          </w:tcPr>
          <w:p>
            <w:pPr>
              <w:pStyle w:val="0"/>
              <w:jc w:val="center"/>
            </w:pPr>
            <w:r>
              <w:rPr>
                <w:sz w:val="24"/>
              </w:rPr>
              <w:t xml:space="preserve">25</w:t>
            </w:r>
          </w:p>
        </w:tc>
        <w:tc>
          <w:tcPr>
            <w:tcW w:w="1870" w:type="dxa"/>
            <w:vAlign w:val="bottom"/>
          </w:tcPr>
          <w:p>
            <w:pPr>
              <w:pStyle w:val="0"/>
              <w:jc w:val="center"/>
            </w:pPr>
            <w:r>
              <w:rPr>
                <w:sz w:val="24"/>
              </w:rPr>
              <w:t xml:space="preserve">50</w:t>
            </w:r>
          </w:p>
        </w:tc>
        <w:tc>
          <w:tcPr>
            <w:tcW w:w="1870" w:type="dxa"/>
            <w:vAlign w:val="bottom"/>
          </w:tcPr>
          <w:p>
            <w:pPr>
              <w:pStyle w:val="0"/>
              <w:jc w:val="center"/>
            </w:pPr>
            <w:r>
              <w:rPr>
                <w:sz w:val="24"/>
              </w:rPr>
              <w:t xml:space="preserve">40</w:t>
            </w:r>
          </w:p>
        </w:tc>
      </w:tr>
      <w:tr>
        <w:tc>
          <w:tcPr>
            <w:tcW w:w="2948" w:type="dxa"/>
          </w:tcPr>
          <w:p>
            <w:pPr>
              <w:pStyle w:val="0"/>
            </w:pPr>
            <w:r>
              <w:rPr>
                <w:sz w:val="24"/>
              </w:rPr>
              <w:t xml:space="preserve">Места массового пребывания людей</w:t>
            </w:r>
          </w:p>
        </w:tc>
        <w:tc>
          <w:tcPr>
            <w:tcW w:w="2381" w:type="dxa"/>
            <w:vAlign w:val="bottom"/>
          </w:tcPr>
          <w:p>
            <w:pPr>
              <w:pStyle w:val="0"/>
              <w:jc w:val="center"/>
            </w:pPr>
            <w:r>
              <w:rPr>
                <w:sz w:val="24"/>
              </w:rPr>
              <w:t xml:space="preserve">25</w:t>
            </w:r>
          </w:p>
        </w:tc>
        <w:tc>
          <w:tcPr>
            <w:tcW w:w="1870" w:type="dxa"/>
            <w:vAlign w:val="bottom"/>
          </w:tcPr>
          <w:p>
            <w:pPr>
              <w:pStyle w:val="0"/>
              <w:jc w:val="center"/>
            </w:pPr>
            <w:r>
              <w:rPr>
                <w:sz w:val="24"/>
              </w:rPr>
              <w:t xml:space="preserve">50</w:t>
            </w:r>
          </w:p>
        </w:tc>
        <w:tc>
          <w:tcPr>
            <w:tcW w:w="1870" w:type="dxa"/>
            <w:vAlign w:val="bottom"/>
          </w:tcPr>
          <w:p>
            <w:pPr>
              <w:pStyle w:val="0"/>
              <w:jc w:val="center"/>
            </w:pPr>
            <w:r>
              <w:rPr>
                <w:sz w:val="24"/>
              </w:rPr>
              <w:t xml:space="preserve">50</w:t>
            </w:r>
          </w:p>
        </w:tc>
      </w:tr>
      <w:tr>
        <w:tc>
          <w:tcPr>
            <w:tcW w:w="2948" w:type="dxa"/>
          </w:tcPr>
          <w:p>
            <w:pPr>
              <w:pStyle w:val="0"/>
            </w:pPr>
            <w:r>
              <w:rPr>
                <w:sz w:val="24"/>
              </w:rPr>
              <w:t xml:space="preserve">Индивидуальные гаражи и открытые стоянки для автомобилей</w:t>
            </w:r>
          </w:p>
        </w:tc>
        <w:tc>
          <w:tcPr>
            <w:tcW w:w="2381" w:type="dxa"/>
            <w:vAlign w:val="bottom"/>
          </w:tcPr>
          <w:p>
            <w:pPr>
              <w:pStyle w:val="0"/>
              <w:jc w:val="center"/>
            </w:pPr>
            <w:r>
              <w:rPr>
                <w:sz w:val="24"/>
              </w:rPr>
              <w:t xml:space="preserve">18</w:t>
            </w:r>
          </w:p>
        </w:tc>
        <w:tc>
          <w:tcPr>
            <w:tcW w:w="1870" w:type="dxa"/>
            <w:vAlign w:val="bottom"/>
          </w:tcPr>
          <w:p>
            <w:pPr>
              <w:pStyle w:val="0"/>
              <w:jc w:val="center"/>
            </w:pPr>
            <w:r>
              <w:rPr>
                <w:sz w:val="24"/>
              </w:rPr>
              <w:t xml:space="preserve">30</w:t>
            </w:r>
          </w:p>
        </w:tc>
        <w:tc>
          <w:tcPr>
            <w:tcW w:w="1870" w:type="dxa"/>
            <w:vAlign w:val="bottom"/>
          </w:tcPr>
          <w:p>
            <w:pPr>
              <w:pStyle w:val="0"/>
              <w:jc w:val="center"/>
            </w:pPr>
            <w:r>
              <w:rPr>
                <w:sz w:val="24"/>
              </w:rPr>
              <w:t xml:space="preserve">20</w:t>
            </w:r>
          </w:p>
        </w:tc>
      </w:tr>
      <w:tr>
        <w:tc>
          <w:tcPr>
            <w:tcW w:w="2948" w:type="dxa"/>
          </w:tcPr>
          <w:p>
            <w:pPr>
              <w:pStyle w:val="0"/>
            </w:pPr>
            <w:r>
              <w:rPr>
                <w:sz w:val="24"/>
              </w:rPr>
              <w:t xml:space="preserve">Торговые киоски</w:t>
            </w:r>
          </w:p>
        </w:tc>
        <w:tc>
          <w:tcPr>
            <w:tcW w:w="2381" w:type="dxa"/>
            <w:vAlign w:val="bottom"/>
          </w:tcPr>
          <w:p>
            <w:pPr>
              <w:pStyle w:val="0"/>
              <w:jc w:val="center"/>
            </w:pPr>
            <w:r>
              <w:rPr>
                <w:sz w:val="24"/>
              </w:rPr>
              <w:t xml:space="preserve">20</w:t>
            </w:r>
          </w:p>
        </w:tc>
        <w:tc>
          <w:tcPr>
            <w:tcW w:w="1870" w:type="dxa"/>
            <w:vAlign w:val="bottom"/>
          </w:tcPr>
          <w:p>
            <w:pPr>
              <w:pStyle w:val="0"/>
              <w:jc w:val="center"/>
            </w:pPr>
            <w:r>
              <w:rPr>
                <w:sz w:val="24"/>
              </w:rPr>
              <w:t xml:space="preserve">25</w:t>
            </w:r>
          </w:p>
        </w:tc>
        <w:tc>
          <w:tcPr>
            <w:tcW w:w="1870" w:type="dxa"/>
            <w:vAlign w:val="bottom"/>
          </w:tcPr>
          <w:p>
            <w:pPr>
              <w:pStyle w:val="0"/>
              <w:jc w:val="center"/>
            </w:pPr>
            <w:r>
              <w:rPr>
                <w:sz w:val="24"/>
              </w:rPr>
              <w:t xml:space="preserve">25</w:t>
            </w:r>
          </w:p>
        </w:tc>
      </w:tr>
      <w:tr>
        <w:tblPrEx>
          <w:tblBorders>
            <w:insideH w:val="nil"/>
          </w:tblBorders>
        </w:tblPrEx>
        <w:tc>
          <w:tcPr>
            <w:tcW w:w="2948" w:type="dxa"/>
            <w:tcBorders>
              <w:bottom w:val="nil"/>
            </w:tcBorders>
          </w:tcPr>
          <w:p>
            <w:pPr>
              <w:pStyle w:val="0"/>
            </w:pPr>
            <w:r>
              <w:rPr>
                <w:sz w:val="24"/>
              </w:rPr>
              <w:t xml:space="preserve">Автомобильные дороги общей сети (край проезжей части):</w:t>
            </w:r>
          </w:p>
        </w:tc>
        <w:tc>
          <w:tcPr>
            <w:tcW w:w="2381" w:type="dxa"/>
            <w:vAlign w:val="bottom"/>
            <w:tcBorders>
              <w:bottom w:val="nil"/>
            </w:tcBorders>
          </w:tcPr>
          <w:p>
            <w:pPr>
              <w:pStyle w:val="0"/>
              <w:jc w:val="center"/>
            </w:pPr>
            <w:r>
              <w:rPr>
                <w:sz w:val="24"/>
              </w:rPr>
            </w:r>
          </w:p>
        </w:tc>
        <w:tc>
          <w:tcPr>
            <w:tcW w:w="1870" w:type="dxa"/>
            <w:vAlign w:val="bottom"/>
            <w:tcBorders>
              <w:bottom w:val="nil"/>
            </w:tcBorders>
          </w:tcPr>
          <w:p>
            <w:pPr>
              <w:pStyle w:val="0"/>
              <w:jc w:val="center"/>
            </w:pPr>
            <w:r>
              <w:rPr>
                <w:sz w:val="24"/>
              </w:rPr>
            </w:r>
          </w:p>
        </w:tc>
        <w:tc>
          <w:tcPr>
            <w:tcW w:w="1870" w:type="dxa"/>
            <w:vAlign w:val="bottom"/>
            <w:tcBorders>
              <w:bottom w:val="nil"/>
            </w:tcBorders>
          </w:tcPr>
          <w:p>
            <w:pPr>
              <w:pStyle w:val="0"/>
              <w:jc w:val="center"/>
            </w:pPr>
            <w:r>
              <w:rPr>
                <w:sz w:val="24"/>
              </w:rPr>
            </w:r>
          </w:p>
        </w:tc>
      </w:tr>
      <w:tr>
        <w:tblPrEx>
          <w:tblBorders>
            <w:insideH w:val="nil"/>
          </w:tblBorders>
        </w:tblPrEx>
        <w:tc>
          <w:tcPr>
            <w:tcW w:w="2948" w:type="dxa"/>
            <w:tcBorders>
              <w:top w:val="nil"/>
              <w:bottom w:val="nil"/>
            </w:tcBorders>
          </w:tcPr>
          <w:p>
            <w:pPr>
              <w:pStyle w:val="0"/>
              <w:ind w:left="283"/>
            </w:pPr>
            <w:r>
              <w:rPr>
                <w:sz w:val="24"/>
              </w:rPr>
              <w:t xml:space="preserve">I, II и III категорий</w:t>
            </w:r>
          </w:p>
        </w:tc>
        <w:tc>
          <w:tcPr>
            <w:tcW w:w="2381" w:type="dxa"/>
            <w:vAlign w:val="bottom"/>
            <w:tcBorders>
              <w:top w:val="nil"/>
              <w:bottom w:val="nil"/>
            </w:tcBorders>
          </w:tcPr>
          <w:p>
            <w:pPr>
              <w:pStyle w:val="0"/>
              <w:jc w:val="center"/>
            </w:pPr>
            <w:r>
              <w:rPr>
                <w:sz w:val="24"/>
              </w:rPr>
              <w:t xml:space="preserve">12</w:t>
            </w:r>
          </w:p>
        </w:tc>
        <w:tc>
          <w:tcPr>
            <w:tcW w:w="1870" w:type="dxa"/>
            <w:vAlign w:val="bottom"/>
            <w:tcBorders>
              <w:top w:val="nil"/>
              <w:bottom w:val="nil"/>
            </w:tcBorders>
          </w:tcPr>
          <w:p>
            <w:pPr>
              <w:pStyle w:val="0"/>
              <w:jc w:val="center"/>
            </w:pPr>
            <w:r>
              <w:rPr>
                <w:sz w:val="24"/>
              </w:rPr>
              <w:t xml:space="preserve">20</w:t>
            </w:r>
          </w:p>
        </w:tc>
        <w:tc>
          <w:tcPr>
            <w:tcW w:w="1870" w:type="dxa"/>
            <w:vAlign w:val="bottom"/>
            <w:tcBorders>
              <w:top w:val="nil"/>
              <w:bottom w:val="nil"/>
            </w:tcBorders>
          </w:tcPr>
          <w:p>
            <w:pPr>
              <w:pStyle w:val="0"/>
              <w:jc w:val="center"/>
            </w:pPr>
            <w:r>
              <w:rPr>
                <w:sz w:val="24"/>
              </w:rPr>
              <w:t xml:space="preserve">15</w:t>
            </w:r>
          </w:p>
        </w:tc>
      </w:tr>
      <w:tr>
        <w:tblPrEx>
          <w:tblBorders>
            <w:insideH w:val="nil"/>
          </w:tblBorders>
        </w:tblPrEx>
        <w:tc>
          <w:tcPr>
            <w:tcW w:w="2948" w:type="dxa"/>
            <w:tcBorders>
              <w:top w:val="nil"/>
            </w:tcBorders>
          </w:tcPr>
          <w:p>
            <w:pPr>
              <w:pStyle w:val="0"/>
              <w:ind w:left="283"/>
            </w:pPr>
            <w:r>
              <w:rPr>
                <w:sz w:val="24"/>
              </w:rPr>
              <w:t xml:space="preserve">IV и V категорий</w:t>
            </w:r>
          </w:p>
        </w:tc>
        <w:tc>
          <w:tcPr>
            <w:tcW w:w="2381" w:type="dxa"/>
            <w:vAlign w:val="bottom"/>
            <w:tcBorders>
              <w:top w:val="nil"/>
            </w:tcBorders>
          </w:tcPr>
          <w:p>
            <w:pPr>
              <w:pStyle w:val="0"/>
              <w:jc w:val="center"/>
            </w:pPr>
            <w:r>
              <w:rPr>
                <w:sz w:val="24"/>
              </w:rPr>
              <w:t xml:space="preserve">9</w:t>
            </w:r>
          </w:p>
        </w:tc>
        <w:tc>
          <w:tcPr>
            <w:tcW w:w="1870" w:type="dxa"/>
            <w:vAlign w:val="bottom"/>
            <w:tcBorders>
              <w:top w:val="nil"/>
            </w:tcBorders>
          </w:tcPr>
          <w:p>
            <w:pPr>
              <w:pStyle w:val="0"/>
              <w:jc w:val="center"/>
            </w:pPr>
            <w:r>
              <w:rPr>
                <w:sz w:val="24"/>
              </w:rPr>
              <w:t xml:space="preserve">12</w:t>
            </w:r>
          </w:p>
        </w:tc>
        <w:tc>
          <w:tcPr>
            <w:tcW w:w="1870" w:type="dxa"/>
            <w:vAlign w:val="bottom"/>
            <w:tcBorders>
              <w:top w:val="nil"/>
            </w:tcBorders>
          </w:tcPr>
          <w:p>
            <w:pPr>
              <w:pStyle w:val="0"/>
              <w:jc w:val="center"/>
            </w:pPr>
            <w:r>
              <w:rPr>
                <w:sz w:val="24"/>
              </w:rPr>
              <w:t xml:space="preserve">9</w:t>
            </w:r>
          </w:p>
        </w:tc>
      </w:tr>
      <w:tr>
        <w:tc>
          <w:tcPr>
            <w:tcW w:w="2948" w:type="dxa"/>
          </w:tcPr>
          <w:p>
            <w:pPr>
              <w:pStyle w:val="0"/>
            </w:pPr>
            <w:r>
              <w:rPr>
                <w:sz w:val="24"/>
              </w:rPr>
              <w:t xml:space="preserve">Маршруты электрифицированного городского транспорта (до контактной сети)</w:t>
            </w:r>
          </w:p>
        </w:tc>
        <w:tc>
          <w:tcPr>
            <w:tcW w:w="2381" w:type="dxa"/>
            <w:vAlign w:val="bottom"/>
          </w:tcPr>
          <w:p>
            <w:pPr>
              <w:pStyle w:val="0"/>
              <w:jc w:val="center"/>
            </w:pPr>
            <w:r>
              <w:rPr>
                <w:sz w:val="24"/>
              </w:rPr>
              <w:t xml:space="preserve">15</w:t>
            </w:r>
          </w:p>
        </w:tc>
        <w:tc>
          <w:tcPr>
            <w:tcW w:w="1870" w:type="dxa"/>
            <w:vAlign w:val="bottom"/>
          </w:tcPr>
          <w:p>
            <w:pPr>
              <w:pStyle w:val="0"/>
              <w:jc w:val="center"/>
            </w:pPr>
            <w:r>
              <w:rPr>
                <w:sz w:val="24"/>
              </w:rPr>
              <w:t xml:space="preserve">20</w:t>
            </w:r>
          </w:p>
        </w:tc>
        <w:tc>
          <w:tcPr>
            <w:tcW w:w="1870" w:type="dxa"/>
            <w:vAlign w:val="bottom"/>
          </w:tcPr>
          <w:p>
            <w:pPr>
              <w:pStyle w:val="0"/>
              <w:jc w:val="center"/>
            </w:pPr>
            <w:r>
              <w:rPr>
                <w:sz w:val="24"/>
              </w:rPr>
              <w:t xml:space="preserve">20</w:t>
            </w:r>
          </w:p>
        </w:tc>
      </w:tr>
      <w:tr>
        <w:tc>
          <w:tcPr>
            <w:tcW w:w="2948" w:type="dxa"/>
          </w:tcPr>
          <w:p>
            <w:pPr>
              <w:pStyle w:val="0"/>
            </w:pPr>
            <w:r>
              <w:rPr>
                <w:sz w:val="24"/>
              </w:rPr>
              <w:t xml:space="preserve">Железные дороги общей сети (до подошвы насыпи или бровки выемки)</w:t>
            </w:r>
          </w:p>
        </w:tc>
        <w:tc>
          <w:tcPr>
            <w:tcW w:w="2381" w:type="dxa"/>
            <w:vAlign w:val="bottom"/>
          </w:tcPr>
          <w:p>
            <w:pPr>
              <w:pStyle w:val="0"/>
              <w:jc w:val="center"/>
            </w:pPr>
            <w:r>
              <w:rPr>
                <w:sz w:val="24"/>
              </w:rPr>
              <w:t xml:space="preserve">25</w:t>
            </w:r>
          </w:p>
        </w:tc>
        <w:tc>
          <w:tcPr>
            <w:tcW w:w="1870" w:type="dxa"/>
            <w:vAlign w:val="bottom"/>
          </w:tcPr>
          <w:p>
            <w:pPr>
              <w:pStyle w:val="0"/>
              <w:jc w:val="center"/>
            </w:pPr>
            <w:r>
              <w:rPr>
                <w:sz w:val="24"/>
              </w:rPr>
              <w:t xml:space="preserve">30</w:t>
            </w:r>
          </w:p>
        </w:tc>
        <w:tc>
          <w:tcPr>
            <w:tcW w:w="1870" w:type="dxa"/>
            <w:vAlign w:val="bottom"/>
          </w:tcPr>
          <w:p>
            <w:pPr>
              <w:pStyle w:val="0"/>
              <w:jc w:val="center"/>
            </w:pPr>
            <w:r>
              <w:rPr>
                <w:sz w:val="24"/>
              </w:rPr>
              <w:t xml:space="preserve">30</w:t>
            </w:r>
          </w:p>
        </w:tc>
      </w:tr>
      <w:tr>
        <w:tc>
          <w:tcPr>
            <w:tcW w:w="2948" w:type="dxa"/>
          </w:tcPr>
          <w:p>
            <w:pPr>
              <w:pStyle w:val="0"/>
            </w:pPr>
            <w:r>
              <w:rPr>
                <w:sz w:val="24"/>
              </w:rPr>
              <w:t xml:space="preserve">Очистные канализационные сооружения и насосные станции, не относящиеся к автозаправочным станциям</w:t>
            </w:r>
          </w:p>
        </w:tc>
        <w:tc>
          <w:tcPr>
            <w:tcW w:w="2381" w:type="dxa"/>
            <w:vAlign w:val="bottom"/>
          </w:tcPr>
          <w:p>
            <w:pPr>
              <w:pStyle w:val="0"/>
              <w:jc w:val="center"/>
            </w:pPr>
            <w:r>
              <w:rPr>
                <w:sz w:val="24"/>
              </w:rPr>
              <w:t xml:space="preserve">15</w:t>
            </w:r>
          </w:p>
        </w:tc>
        <w:tc>
          <w:tcPr>
            <w:tcW w:w="1870" w:type="dxa"/>
            <w:vAlign w:val="bottom"/>
          </w:tcPr>
          <w:p>
            <w:pPr>
              <w:pStyle w:val="0"/>
              <w:jc w:val="center"/>
            </w:pPr>
            <w:r>
              <w:rPr>
                <w:sz w:val="24"/>
              </w:rPr>
              <w:t xml:space="preserve">30</w:t>
            </w:r>
          </w:p>
        </w:tc>
        <w:tc>
          <w:tcPr>
            <w:tcW w:w="1870" w:type="dxa"/>
            <w:vAlign w:val="bottom"/>
          </w:tcPr>
          <w:p>
            <w:pPr>
              <w:pStyle w:val="0"/>
              <w:jc w:val="center"/>
            </w:pPr>
            <w:r>
              <w:rPr>
                <w:sz w:val="24"/>
              </w:rPr>
              <w:t xml:space="preserve">25</w:t>
            </w:r>
          </w:p>
        </w:tc>
      </w:tr>
      <w:tr>
        <w:tc>
          <w:tcPr>
            <w:tcW w:w="2948" w:type="dxa"/>
          </w:tcPr>
          <w:p>
            <w:pPr>
              <w:pStyle w:val="0"/>
            </w:pPr>
            <w:r>
              <w:rPr>
                <w:sz w:val="24"/>
              </w:rPr>
              <w:t xml:space="preserve">Технологические установки категорий АН, БН, ГН, здания и сооружения с наличием радиоактивных и вредных веществ I и II классов опасности</w:t>
            </w:r>
          </w:p>
        </w:tc>
        <w:tc>
          <w:tcPr>
            <w:tcW w:w="2381" w:type="dxa"/>
            <w:vAlign w:val="bottom"/>
          </w:tcPr>
          <w:p>
            <w:pPr>
              <w:pStyle w:val="0"/>
              <w:jc w:val="center"/>
            </w:pPr>
            <w:r>
              <w:rPr>
                <w:sz w:val="24"/>
              </w:rPr>
              <w:t xml:space="preserve">-</w:t>
            </w:r>
          </w:p>
        </w:tc>
        <w:tc>
          <w:tcPr>
            <w:tcW w:w="1870" w:type="dxa"/>
            <w:vAlign w:val="bottom"/>
          </w:tcPr>
          <w:p>
            <w:pPr>
              <w:pStyle w:val="0"/>
              <w:jc w:val="center"/>
            </w:pPr>
            <w:r>
              <w:rPr>
                <w:sz w:val="24"/>
              </w:rPr>
              <w:t xml:space="preserve">100</w:t>
            </w:r>
          </w:p>
        </w:tc>
        <w:tc>
          <w:tcPr>
            <w:tcW w:w="1870" w:type="dxa"/>
            <w:vAlign w:val="bottom"/>
          </w:tcPr>
          <w:p>
            <w:pPr>
              <w:pStyle w:val="0"/>
              <w:jc w:val="center"/>
            </w:pPr>
            <w:r>
              <w:rPr>
                <w:sz w:val="24"/>
              </w:rPr>
              <w:t xml:space="preserve">-</w:t>
            </w:r>
          </w:p>
        </w:tc>
      </w:tr>
      <w:tr>
        <w:tc>
          <w:tcPr>
            <w:tcW w:w="2948" w:type="dxa"/>
          </w:tcPr>
          <w:p>
            <w:pPr>
              <w:pStyle w:val="0"/>
            </w:pPr>
            <w:r>
              <w:rPr>
                <w:sz w:val="24"/>
              </w:rPr>
              <w:t xml:space="preserve">Склады лесных материалов, торфа, волокнистых горючих веществ, сена, соломы, а также участки открытого залегания торфа</w:t>
            </w:r>
          </w:p>
        </w:tc>
        <w:tc>
          <w:tcPr>
            <w:tcW w:w="2381" w:type="dxa"/>
            <w:vAlign w:val="bottom"/>
          </w:tcPr>
          <w:p>
            <w:pPr>
              <w:pStyle w:val="0"/>
              <w:jc w:val="center"/>
            </w:pPr>
            <w:r>
              <w:rPr>
                <w:sz w:val="24"/>
              </w:rPr>
              <w:t xml:space="preserve">20</w:t>
            </w:r>
          </w:p>
        </w:tc>
        <w:tc>
          <w:tcPr>
            <w:tcW w:w="1870" w:type="dxa"/>
            <w:vAlign w:val="bottom"/>
          </w:tcPr>
          <w:p>
            <w:pPr>
              <w:pStyle w:val="0"/>
              <w:jc w:val="center"/>
            </w:pPr>
            <w:r>
              <w:rPr>
                <w:sz w:val="24"/>
              </w:rPr>
              <w:t xml:space="preserve">40</w:t>
            </w:r>
          </w:p>
        </w:tc>
        <w:tc>
          <w:tcPr>
            <w:tcW w:w="1870" w:type="dxa"/>
            <w:vAlign w:val="bottom"/>
          </w:tcPr>
          <w:p>
            <w:pPr>
              <w:pStyle w:val="0"/>
              <w:jc w:val="center"/>
            </w:pPr>
            <w:r>
              <w:rPr>
                <w:sz w:val="24"/>
              </w:rPr>
              <w:t xml:space="preserve">30</w:t>
            </w:r>
          </w:p>
        </w:tc>
      </w:tr>
    </w:tbl>
    <w:p>
      <w:pPr>
        <w:pStyle w:val="0"/>
        <w:ind w:firstLine="540"/>
        <w:jc w:val="both"/>
      </w:pPr>
      <w:r>
        <w:rPr>
          <w:sz w:val="24"/>
        </w:rPr>
      </w:r>
    </w:p>
    <w:p>
      <w:pPr>
        <w:pStyle w:val="0"/>
        <w:outlineLvl w:val="1"/>
        <w:jc w:val="center"/>
      </w:pPr>
      <w:r>
        <w:rPr>
          <w:sz w:val="24"/>
        </w:rPr>
        <w:t xml:space="preserve">Таблица 16</w:t>
      </w:r>
    </w:p>
    <w:p>
      <w:pPr>
        <w:pStyle w:val="0"/>
        <w:ind w:firstLine="540"/>
        <w:jc w:val="both"/>
      </w:pPr>
      <w:r>
        <w:rPr>
          <w:sz w:val="24"/>
        </w:rPr>
      </w:r>
    </w:p>
    <w:p>
      <w:pPr>
        <w:pStyle w:val="2"/>
        <w:jc w:val="center"/>
      </w:pPr>
      <w:r>
        <w:rPr>
          <w:sz w:val="24"/>
        </w:rPr>
        <w:t xml:space="preserve">Противопожарные расстояния от мест организованного хранения</w:t>
      </w:r>
    </w:p>
    <w:p>
      <w:pPr>
        <w:pStyle w:val="2"/>
        <w:jc w:val="center"/>
      </w:pPr>
      <w:r>
        <w:rPr>
          <w:sz w:val="24"/>
        </w:rPr>
        <w:t xml:space="preserve">и обслуживания транспортных средств</w:t>
      </w:r>
    </w:p>
    <w:p>
      <w:pPr>
        <w:pStyle w:val="0"/>
        <w:ind w:firstLine="540"/>
        <w:jc w:val="both"/>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10.07.2012 N 117-ФЗ.</w:t>
      </w:r>
    </w:p>
    <w:p>
      <w:pPr>
        <w:pStyle w:val="0"/>
        <w:ind w:firstLine="540"/>
        <w:jc w:val="both"/>
      </w:pPr>
      <w:r>
        <w:rPr>
          <w:sz w:val="24"/>
        </w:rPr>
      </w:r>
    </w:p>
    <w:bookmarkStart w:id="2526" w:name="P2526"/>
    <w:bookmarkEnd w:id="2526"/>
    <w:p>
      <w:pPr>
        <w:pStyle w:val="0"/>
        <w:outlineLvl w:val="1"/>
        <w:jc w:val="center"/>
      </w:pPr>
      <w:r>
        <w:rPr>
          <w:sz w:val="24"/>
        </w:rPr>
        <w:t xml:space="preserve">Таблица 17</w:t>
      </w:r>
    </w:p>
    <w:p>
      <w:pPr>
        <w:pStyle w:val="0"/>
        <w:jc w:val="right"/>
      </w:pPr>
      <w:r>
        <w:rPr>
          <w:sz w:val="24"/>
        </w:rPr>
      </w:r>
    </w:p>
    <w:bookmarkStart w:id="2528" w:name="P2528"/>
    <w:bookmarkEnd w:id="2528"/>
    <w:p>
      <w:pPr>
        <w:pStyle w:val="2"/>
        <w:jc w:val="center"/>
      </w:pPr>
      <w:r>
        <w:rPr>
          <w:sz w:val="24"/>
        </w:rPr>
        <w:t xml:space="preserve">Противопожарные расстояния от резервуара на складе</w:t>
      </w:r>
    </w:p>
    <w:p>
      <w:pPr>
        <w:pStyle w:val="2"/>
        <w:jc w:val="center"/>
      </w:pPr>
      <w:r>
        <w:rPr>
          <w:sz w:val="24"/>
        </w:rPr>
        <w:t xml:space="preserve">общей вместимостью до 10 000 кубических метров при хранении</w:t>
      </w:r>
    </w:p>
    <w:p>
      <w:pPr>
        <w:pStyle w:val="2"/>
        <w:jc w:val="center"/>
      </w:pPr>
      <w:r>
        <w:rPr>
          <w:sz w:val="24"/>
        </w:rPr>
        <w:t xml:space="preserve">под давлением или 40 000 кубических метров при хранении</w:t>
      </w:r>
    </w:p>
    <w:p>
      <w:pPr>
        <w:pStyle w:val="2"/>
        <w:jc w:val="center"/>
      </w:pPr>
      <w:r>
        <w:rPr>
          <w:sz w:val="24"/>
        </w:rPr>
        <w:t xml:space="preserve">изотермическим способом до зданий и сооружений</w:t>
      </w:r>
    </w:p>
    <w:p>
      <w:pPr>
        <w:pStyle w:val="2"/>
        <w:jc w:val="center"/>
      </w:pPr>
      <w:r>
        <w:rPr>
          <w:sz w:val="24"/>
        </w:rPr>
        <w:t xml:space="preserve">объектов, не относящихся к складу</w:t>
      </w:r>
    </w:p>
    <w:p>
      <w:pPr>
        <w:pStyle w:val="0"/>
        <w:jc w:val="center"/>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1814"/>
        <w:gridCol w:w="1531"/>
        <w:gridCol w:w="1587"/>
        <w:gridCol w:w="1701"/>
      </w:tblGrid>
      <w:tr>
        <w:tc>
          <w:tcPr>
            <w:tcW w:w="2438" w:type="dxa"/>
            <w:vMerge w:val="restart"/>
          </w:tcPr>
          <w:p>
            <w:pPr>
              <w:pStyle w:val="0"/>
              <w:jc w:val="center"/>
            </w:pPr>
            <w:r>
              <w:rPr>
                <w:sz w:val="24"/>
              </w:rPr>
              <w:t xml:space="preserve">Наименование здания и сооружения</w:t>
            </w:r>
          </w:p>
        </w:tc>
        <w:tc>
          <w:tcPr>
            <w:gridSpan w:val="4"/>
            <w:tcW w:w="6633" w:type="dxa"/>
          </w:tcPr>
          <w:p>
            <w:pPr>
              <w:pStyle w:val="0"/>
              <w:jc w:val="center"/>
            </w:pPr>
            <w:r>
              <w:rPr>
                <w:sz w:val="24"/>
              </w:rPr>
              <w:t xml:space="preserve">Противопожарные расстояния, метры</w:t>
            </w:r>
          </w:p>
        </w:tc>
      </w:tr>
      <w:tr>
        <w:tc>
          <w:tcPr>
            <w:vMerge w:val="continue"/>
          </w:tcPr>
          <w:p/>
        </w:tc>
        <w:tc>
          <w:tcPr>
            <w:tcW w:w="1814" w:type="dxa"/>
          </w:tcPr>
          <w:p>
            <w:pPr>
              <w:pStyle w:val="0"/>
              <w:jc w:val="center"/>
            </w:pPr>
            <w:r>
              <w:rPr>
                <w:sz w:val="24"/>
              </w:rPr>
              <w:t xml:space="preserve">Резервуары надземные под давлением, включая полуизотермические</w:t>
            </w:r>
          </w:p>
        </w:tc>
        <w:tc>
          <w:tcPr>
            <w:tcW w:w="1531" w:type="dxa"/>
          </w:tcPr>
          <w:p>
            <w:pPr>
              <w:pStyle w:val="0"/>
              <w:jc w:val="center"/>
            </w:pPr>
            <w:r>
              <w:rPr>
                <w:sz w:val="24"/>
              </w:rPr>
              <w:t xml:space="preserve">Резервуары подземные под давлением</w:t>
            </w:r>
          </w:p>
        </w:tc>
        <w:tc>
          <w:tcPr>
            <w:tcW w:w="1587" w:type="dxa"/>
          </w:tcPr>
          <w:p>
            <w:pPr>
              <w:pStyle w:val="0"/>
              <w:jc w:val="center"/>
            </w:pPr>
            <w:r>
              <w:rPr>
                <w:sz w:val="24"/>
              </w:rPr>
              <w:t xml:space="preserve">Резервуары надземные изотермические</w:t>
            </w:r>
          </w:p>
        </w:tc>
        <w:tc>
          <w:tcPr>
            <w:tcW w:w="1701" w:type="dxa"/>
          </w:tcPr>
          <w:p>
            <w:pPr>
              <w:pStyle w:val="0"/>
              <w:jc w:val="center"/>
            </w:pPr>
            <w:r>
              <w:rPr>
                <w:sz w:val="24"/>
              </w:rPr>
              <w:t xml:space="preserve">Резервуары подземные изотермические</w:t>
            </w:r>
          </w:p>
        </w:tc>
      </w:tr>
      <w:tr>
        <w:tc>
          <w:tcPr>
            <w:tcW w:w="2438" w:type="dxa"/>
          </w:tcPr>
          <w:p>
            <w:pPr>
              <w:pStyle w:val="0"/>
            </w:pPr>
            <w:r>
              <w:rPr>
                <w:sz w:val="24"/>
              </w:rPr>
              <w:t xml:space="preserve">Трамвайные пути и троллейбусные линии, железные дороги общей сети (до подошвы насыпи или бровки выемки)</w:t>
            </w:r>
          </w:p>
        </w:tc>
        <w:tc>
          <w:tcPr>
            <w:tcW w:w="1814" w:type="dxa"/>
            <w:vAlign w:val="bottom"/>
          </w:tcPr>
          <w:p>
            <w:pPr>
              <w:pStyle w:val="0"/>
              <w:jc w:val="center"/>
            </w:pPr>
            <w:r>
              <w:rPr>
                <w:sz w:val="24"/>
              </w:rPr>
              <w:t xml:space="preserve">100</w:t>
            </w:r>
          </w:p>
        </w:tc>
        <w:tc>
          <w:tcPr>
            <w:tcW w:w="1531" w:type="dxa"/>
            <w:vAlign w:val="bottom"/>
          </w:tcPr>
          <w:p>
            <w:pPr>
              <w:pStyle w:val="0"/>
              <w:jc w:val="center"/>
            </w:pPr>
            <w:r>
              <w:rPr>
                <w:sz w:val="24"/>
              </w:rPr>
              <w:t xml:space="preserve">75</w:t>
            </w:r>
          </w:p>
        </w:tc>
        <w:tc>
          <w:tcPr>
            <w:tcW w:w="1587" w:type="dxa"/>
            <w:vAlign w:val="bottom"/>
          </w:tcPr>
          <w:p>
            <w:pPr>
              <w:pStyle w:val="0"/>
              <w:jc w:val="center"/>
            </w:pPr>
            <w:r>
              <w:rPr>
                <w:sz w:val="24"/>
              </w:rPr>
              <w:t xml:space="preserve">100</w:t>
            </w:r>
          </w:p>
        </w:tc>
        <w:tc>
          <w:tcPr>
            <w:tcW w:w="1701" w:type="dxa"/>
            <w:vAlign w:val="bottom"/>
          </w:tcPr>
          <w:p>
            <w:pPr>
              <w:pStyle w:val="0"/>
              <w:jc w:val="center"/>
            </w:pPr>
            <w:r>
              <w:rPr>
                <w:sz w:val="24"/>
              </w:rPr>
              <w:t xml:space="preserve">75</w:t>
            </w:r>
          </w:p>
        </w:tc>
      </w:tr>
      <w:tr>
        <w:tc>
          <w:tcPr>
            <w:tcW w:w="2438" w:type="dxa"/>
          </w:tcPr>
          <w:p>
            <w:pPr>
              <w:pStyle w:val="0"/>
            </w:pPr>
            <w:r>
              <w:rPr>
                <w:sz w:val="24"/>
              </w:rPr>
              <w:t xml:space="preserve">Автомобильные дороги общей сети (край проезжей части)</w:t>
            </w:r>
          </w:p>
        </w:tc>
        <w:tc>
          <w:tcPr>
            <w:tcW w:w="1814" w:type="dxa"/>
            <w:vAlign w:val="bottom"/>
          </w:tcPr>
          <w:p>
            <w:pPr>
              <w:pStyle w:val="0"/>
              <w:jc w:val="center"/>
            </w:pPr>
            <w:r>
              <w:rPr>
                <w:sz w:val="24"/>
              </w:rPr>
              <w:t xml:space="preserve">50</w:t>
            </w:r>
          </w:p>
        </w:tc>
        <w:tc>
          <w:tcPr>
            <w:tcW w:w="1531" w:type="dxa"/>
            <w:vAlign w:val="bottom"/>
          </w:tcPr>
          <w:p>
            <w:pPr>
              <w:pStyle w:val="0"/>
              <w:jc w:val="center"/>
            </w:pPr>
            <w:r>
              <w:rPr>
                <w:sz w:val="24"/>
              </w:rPr>
              <w:t xml:space="preserve">50</w:t>
            </w:r>
          </w:p>
        </w:tc>
        <w:tc>
          <w:tcPr>
            <w:tcW w:w="1587" w:type="dxa"/>
            <w:vAlign w:val="bottom"/>
          </w:tcPr>
          <w:p>
            <w:pPr>
              <w:pStyle w:val="0"/>
              <w:jc w:val="center"/>
            </w:pPr>
            <w:r>
              <w:rPr>
                <w:sz w:val="24"/>
              </w:rPr>
              <w:t xml:space="preserve">50</w:t>
            </w:r>
          </w:p>
        </w:tc>
        <w:tc>
          <w:tcPr>
            <w:tcW w:w="1701" w:type="dxa"/>
            <w:vAlign w:val="bottom"/>
          </w:tcPr>
          <w:p>
            <w:pPr>
              <w:pStyle w:val="0"/>
              <w:jc w:val="center"/>
            </w:pPr>
            <w:r>
              <w:rPr>
                <w:sz w:val="24"/>
              </w:rPr>
              <w:t xml:space="preserve">50</w:t>
            </w:r>
          </w:p>
        </w:tc>
      </w:tr>
      <w:tr>
        <w:tc>
          <w:tcPr>
            <w:tcW w:w="2438" w:type="dxa"/>
          </w:tcPr>
          <w:p>
            <w:pPr>
              <w:pStyle w:val="0"/>
            </w:pPr>
            <w:r>
              <w:rPr>
                <w:sz w:val="24"/>
              </w:rPr>
              <w:t xml:space="preserve">Линии электропередачи (воздушные) высокого напряжения (от подошвы обвалования)</w:t>
            </w:r>
          </w:p>
        </w:tc>
        <w:tc>
          <w:tcPr>
            <w:tcW w:w="1814" w:type="dxa"/>
            <w:vAlign w:val="bottom"/>
          </w:tcPr>
          <w:p>
            <w:pPr>
              <w:pStyle w:val="0"/>
              <w:jc w:val="center"/>
            </w:pPr>
            <w:r>
              <w:rPr>
                <w:sz w:val="24"/>
              </w:rPr>
              <w:t xml:space="preserve">не менее 1,5 высоты опоры</w:t>
            </w:r>
          </w:p>
        </w:tc>
        <w:tc>
          <w:tcPr>
            <w:tcW w:w="1531" w:type="dxa"/>
            <w:vAlign w:val="bottom"/>
          </w:tcPr>
          <w:p>
            <w:pPr>
              <w:pStyle w:val="0"/>
              <w:jc w:val="center"/>
            </w:pPr>
            <w:r>
              <w:rPr>
                <w:sz w:val="24"/>
              </w:rPr>
              <w:t xml:space="preserve">не менее 1,5 высоты опоры</w:t>
            </w:r>
          </w:p>
        </w:tc>
        <w:tc>
          <w:tcPr>
            <w:tcW w:w="1587" w:type="dxa"/>
            <w:vAlign w:val="bottom"/>
          </w:tcPr>
          <w:p>
            <w:pPr>
              <w:pStyle w:val="0"/>
              <w:jc w:val="center"/>
            </w:pPr>
            <w:r>
              <w:rPr>
                <w:sz w:val="24"/>
              </w:rPr>
              <w:t xml:space="preserve">не менее 1,5 высоты опоры</w:t>
            </w:r>
          </w:p>
        </w:tc>
        <w:tc>
          <w:tcPr>
            <w:tcW w:w="1701" w:type="dxa"/>
            <w:vAlign w:val="bottom"/>
          </w:tcPr>
          <w:p>
            <w:pPr>
              <w:pStyle w:val="0"/>
              <w:jc w:val="center"/>
            </w:pPr>
            <w:r>
              <w:rPr>
                <w:sz w:val="24"/>
              </w:rPr>
              <w:t xml:space="preserve">не менее 1,5 высоты опоры</w:t>
            </w:r>
          </w:p>
        </w:tc>
      </w:tr>
      <w:tr>
        <w:tc>
          <w:tcPr>
            <w:tcW w:w="2438" w:type="dxa"/>
          </w:tcPr>
          <w:p>
            <w:pPr>
              <w:pStyle w:val="0"/>
            </w:pPr>
            <w:r>
              <w:rPr>
                <w:sz w:val="24"/>
              </w:rPr>
              <w:t xml:space="preserve">Границы территорий смежных организаций (до ограждения)</w:t>
            </w:r>
          </w:p>
        </w:tc>
        <w:tc>
          <w:tcPr>
            <w:tcW w:w="1814" w:type="dxa"/>
            <w:vAlign w:val="bottom"/>
          </w:tcPr>
          <w:p>
            <w:pPr>
              <w:pStyle w:val="0"/>
              <w:jc w:val="center"/>
            </w:pPr>
            <w:r>
              <w:rPr>
                <w:sz w:val="24"/>
              </w:rPr>
              <w:t xml:space="preserve">300</w:t>
            </w:r>
          </w:p>
        </w:tc>
        <w:tc>
          <w:tcPr>
            <w:tcW w:w="1531" w:type="dxa"/>
            <w:vAlign w:val="bottom"/>
          </w:tcPr>
          <w:p>
            <w:pPr>
              <w:pStyle w:val="0"/>
              <w:jc w:val="center"/>
            </w:pPr>
            <w:r>
              <w:rPr>
                <w:sz w:val="24"/>
              </w:rPr>
              <w:t xml:space="preserve">250</w:t>
            </w:r>
          </w:p>
        </w:tc>
        <w:tc>
          <w:tcPr>
            <w:tcW w:w="1587" w:type="dxa"/>
            <w:vAlign w:val="bottom"/>
          </w:tcPr>
          <w:p>
            <w:pPr>
              <w:pStyle w:val="0"/>
              <w:jc w:val="center"/>
            </w:pPr>
            <w:r>
              <w:rPr>
                <w:sz w:val="24"/>
              </w:rPr>
              <w:t xml:space="preserve">300</w:t>
            </w:r>
          </w:p>
        </w:tc>
        <w:tc>
          <w:tcPr>
            <w:tcW w:w="1701" w:type="dxa"/>
            <w:vAlign w:val="bottom"/>
          </w:tcPr>
          <w:p>
            <w:pPr>
              <w:pStyle w:val="0"/>
              <w:jc w:val="center"/>
            </w:pPr>
            <w:r>
              <w:rPr>
                <w:sz w:val="24"/>
              </w:rPr>
              <w:t xml:space="preserve">200</w:t>
            </w:r>
          </w:p>
        </w:tc>
      </w:tr>
      <w:tr>
        <w:tc>
          <w:tcPr>
            <w:tcW w:w="2438" w:type="dxa"/>
          </w:tcPr>
          <w:p>
            <w:pPr>
              <w:pStyle w:val="0"/>
            </w:pPr>
            <w:r>
              <w:rPr>
                <w:sz w:val="24"/>
              </w:rPr>
              <w:t xml:space="preserve">Жилые и общественные здания</w:t>
            </w:r>
          </w:p>
        </w:tc>
        <w:tc>
          <w:tcPr>
            <w:tcW w:w="1814" w:type="dxa"/>
          </w:tcPr>
          <w:p>
            <w:pPr>
              <w:pStyle w:val="0"/>
              <w:jc w:val="center"/>
            </w:pPr>
            <w:r>
              <w:rPr>
                <w:sz w:val="24"/>
              </w:rPr>
              <w:t xml:space="preserve">вне пределов санитарно-защитной зоны, но не менее 500</w:t>
            </w:r>
          </w:p>
        </w:tc>
        <w:tc>
          <w:tcPr>
            <w:tcW w:w="1531" w:type="dxa"/>
          </w:tcPr>
          <w:p>
            <w:pPr>
              <w:pStyle w:val="0"/>
              <w:jc w:val="center"/>
            </w:pPr>
            <w:r>
              <w:rPr>
                <w:sz w:val="24"/>
              </w:rPr>
              <w:t xml:space="preserve">вне пределов санитарно-защитной зоны, но не менее 300</w:t>
            </w:r>
          </w:p>
        </w:tc>
        <w:tc>
          <w:tcPr>
            <w:tcW w:w="1587" w:type="dxa"/>
          </w:tcPr>
          <w:p>
            <w:pPr>
              <w:pStyle w:val="0"/>
              <w:jc w:val="center"/>
            </w:pPr>
            <w:r>
              <w:rPr>
                <w:sz w:val="24"/>
              </w:rPr>
              <w:t xml:space="preserve">вне пределов санитарно-защитной зоны, но не менее 500</w:t>
            </w:r>
          </w:p>
        </w:tc>
        <w:tc>
          <w:tcPr>
            <w:tcW w:w="1701" w:type="dxa"/>
          </w:tcPr>
          <w:p>
            <w:pPr>
              <w:pStyle w:val="0"/>
              <w:jc w:val="center"/>
            </w:pPr>
            <w:r>
              <w:rPr>
                <w:sz w:val="24"/>
              </w:rPr>
              <w:t xml:space="preserve">вне пределов санитарно-защитной зоны, но не менее 300</w:t>
            </w:r>
          </w:p>
        </w:tc>
      </w:tr>
      <w:tr>
        <w:tc>
          <w:tcPr>
            <w:tcW w:w="2438" w:type="dxa"/>
          </w:tcPr>
          <w:p>
            <w:pPr>
              <w:pStyle w:val="0"/>
            </w:pPr>
            <w:r>
              <w:rPr>
                <w:sz w:val="24"/>
              </w:rPr>
              <w:t xml:space="preserve">ТЭЦ</w:t>
            </w:r>
          </w:p>
        </w:tc>
        <w:tc>
          <w:tcPr>
            <w:tcW w:w="1814" w:type="dxa"/>
            <w:vAlign w:val="bottom"/>
          </w:tcPr>
          <w:p>
            <w:pPr>
              <w:pStyle w:val="0"/>
              <w:jc w:val="center"/>
            </w:pPr>
            <w:r>
              <w:rPr>
                <w:sz w:val="24"/>
              </w:rPr>
              <w:t xml:space="preserve">200</w:t>
            </w:r>
          </w:p>
        </w:tc>
        <w:tc>
          <w:tcPr>
            <w:tcW w:w="1531" w:type="dxa"/>
            <w:vAlign w:val="bottom"/>
          </w:tcPr>
          <w:p>
            <w:pPr>
              <w:pStyle w:val="0"/>
              <w:jc w:val="center"/>
            </w:pPr>
            <w:r>
              <w:rPr>
                <w:sz w:val="24"/>
              </w:rPr>
              <w:t xml:space="preserve">200</w:t>
            </w:r>
          </w:p>
        </w:tc>
        <w:tc>
          <w:tcPr>
            <w:tcW w:w="1587" w:type="dxa"/>
            <w:vAlign w:val="bottom"/>
          </w:tcPr>
          <w:p>
            <w:pPr>
              <w:pStyle w:val="0"/>
              <w:jc w:val="center"/>
            </w:pPr>
            <w:r>
              <w:rPr>
                <w:sz w:val="24"/>
              </w:rPr>
              <w:t xml:space="preserve">200</w:t>
            </w:r>
          </w:p>
        </w:tc>
        <w:tc>
          <w:tcPr>
            <w:tcW w:w="1701" w:type="dxa"/>
            <w:vAlign w:val="bottom"/>
          </w:tcPr>
          <w:p>
            <w:pPr>
              <w:pStyle w:val="0"/>
              <w:jc w:val="center"/>
            </w:pPr>
            <w:r>
              <w:rPr>
                <w:sz w:val="24"/>
              </w:rPr>
              <w:t xml:space="preserve">200</w:t>
            </w:r>
          </w:p>
        </w:tc>
      </w:tr>
      <w:tr>
        <w:tc>
          <w:tcPr>
            <w:tcW w:w="2438" w:type="dxa"/>
          </w:tcPr>
          <w:p>
            <w:pPr>
              <w:pStyle w:val="0"/>
            </w:pPr>
            <w:r>
              <w:rPr>
                <w:sz w:val="24"/>
              </w:rPr>
              <w:t xml:space="preserve">Склады лесоматериалов и твердого топлива</w:t>
            </w:r>
          </w:p>
        </w:tc>
        <w:tc>
          <w:tcPr>
            <w:tcW w:w="1814" w:type="dxa"/>
            <w:vAlign w:val="bottom"/>
          </w:tcPr>
          <w:p>
            <w:pPr>
              <w:pStyle w:val="0"/>
              <w:jc w:val="center"/>
            </w:pPr>
            <w:r>
              <w:rPr>
                <w:sz w:val="24"/>
              </w:rPr>
              <w:t xml:space="preserve">200</w:t>
            </w:r>
          </w:p>
        </w:tc>
        <w:tc>
          <w:tcPr>
            <w:tcW w:w="1531" w:type="dxa"/>
            <w:vAlign w:val="bottom"/>
          </w:tcPr>
          <w:p>
            <w:pPr>
              <w:pStyle w:val="0"/>
              <w:jc w:val="center"/>
            </w:pPr>
            <w:r>
              <w:rPr>
                <w:sz w:val="24"/>
              </w:rPr>
              <w:t xml:space="preserve">150</w:t>
            </w:r>
          </w:p>
        </w:tc>
        <w:tc>
          <w:tcPr>
            <w:tcW w:w="1587" w:type="dxa"/>
            <w:vAlign w:val="bottom"/>
          </w:tcPr>
          <w:p>
            <w:pPr>
              <w:pStyle w:val="0"/>
              <w:jc w:val="center"/>
            </w:pPr>
            <w:r>
              <w:rPr>
                <w:sz w:val="24"/>
              </w:rPr>
              <w:t xml:space="preserve">200</w:t>
            </w:r>
          </w:p>
        </w:tc>
        <w:tc>
          <w:tcPr>
            <w:tcW w:w="1701" w:type="dxa"/>
            <w:vAlign w:val="bottom"/>
          </w:tcPr>
          <w:p>
            <w:pPr>
              <w:pStyle w:val="0"/>
              <w:jc w:val="center"/>
            </w:pPr>
            <w:r>
              <w:rPr>
                <w:sz w:val="24"/>
              </w:rPr>
              <w:t xml:space="preserve">150</w:t>
            </w:r>
          </w:p>
        </w:tc>
      </w:tr>
      <w:tr>
        <w:tblPrEx>
          <w:tblBorders>
            <w:insideH w:val="nil"/>
          </w:tblBorders>
        </w:tblPrEx>
        <w:tc>
          <w:tcPr>
            <w:tcW w:w="2438" w:type="dxa"/>
            <w:tcBorders>
              <w:bottom w:val="nil"/>
            </w:tcBorders>
          </w:tcPr>
          <w:p>
            <w:pPr>
              <w:pStyle w:val="0"/>
            </w:pPr>
            <w:r>
              <w:rPr>
                <w:sz w:val="24"/>
              </w:rPr>
              <w:t xml:space="preserve">Лесничества с лесными насаждениями хвойных пород (от ограждения территории организации или склада)</w:t>
            </w:r>
          </w:p>
        </w:tc>
        <w:tc>
          <w:tcPr>
            <w:tcW w:w="1814" w:type="dxa"/>
            <w:vAlign w:val="bottom"/>
            <w:tcBorders>
              <w:bottom w:val="nil"/>
            </w:tcBorders>
          </w:tcPr>
          <w:p>
            <w:pPr>
              <w:pStyle w:val="0"/>
              <w:jc w:val="center"/>
            </w:pPr>
            <w:r>
              <w:rPr>
                <w:sz w:val="24"/>
              </w:rPr>
              <w:t xml:space="preserve">100</w:t>
            </w:r>
          </w:p>
        </w:tc>
        <w:tc>
          <w:tcPr>
            <w:tcW w:w="1531" w:type="dxa"/>
            <w:vAlign w:val="bottom"/>
            <w:tcBorders>
              <w:bottom w:val="nil"/>
            </w:tcBorders>
          </w:tcPr>
          <w:p>
            <w:pPr>
              <w:pStyle w:val="0"/>
              <w:jc w:val="center"/>
            </w:pPr>
            <w:r>
              <w:rPr>
                <w:sz w:val="24"/>
              </w:rPr>
              <w:t xml:space="preserve">75</w:t>
            </w:r>
          </w:p>
        </w:tc>
        <w:tc>
          <w:tcPr>
            <w:tcW w:w="1587" w:type="dxa"/>
            <w:vAlign w:val="bottom"/>
            <w:tcBorders>
              <w:bottom w:val="nil"/>
            </w:tcBorders>
          </w:tcPr>
          <w:p>
            <w:pPr>
              <w:pStyle w:val="0"/>
              <w:jc w:val="center"/>
            </w:pPr>
            <w:r>
              <w:rPr>
                <w:sz w:val="24"/>
              </w:rPr>
              <w:t xml:space="preserve">100</w:t>
            </w:r>
          </w:p>
        </w:tc>
        <w:tc>
          <w:tcPr>
            <w:tcW w:w="1701" w:type="dxa"/>
            <w:vAlign w:val="bottom"/>
            <w:tcBorders>
              <w:bottom w:val="nil"/>
            </w:tcBorders>
          </w:tcPr>
          <w:p>
            <w:pPr>
              <w:pStyle w:val="0"/>
              <w:jc w:val="center"/>
            </w:pPr>
            <w:r>
              <w:rPr>
                <w:sz w:val="24"/>
              </w:rPr>
              <w:t xml:space="preserve">75</w:t>
            </w:r>
          </w:p>
        </w:tc>
      </w:tr>
      <w:tr>
        <w:tblPrEx>
          <w:tblBorders>
            <w:insideH w:val="nil"/>
          </w:tblBorders>
        </w:tblPrEx>
        <w:tc>
          <w:tcPr>
            <w:gridSpan w:val="5"/>
            <w:tcW w:w="9071" w:type="dxa"/>
            <w:tcBorders>
              <w:top w:val="nil"/>
            </w:tcBorders>
          </w:tcPr>
          <w:p>
            <w:pPr>
              <w:pStyle w:val="0"/>
              <w:jc w:val="both"/>
            </w:pPr>
            <w:r>
              <w:rPr>
                <w:sz w:val="24"/>
              </w:rPr>
              <w:t xml:space="preserve">(в ред. Федеральных законов от 10.07.2012 </w:t>
            </w:r>
            <w:r>
              <w:rPr>
                <w:sz w:val="24"/>
              </w:rPr>
              <w:t xml:space="preserve">N 117-ФЗ</w:t>
            </w:r>
            <w:r>
              <w:rPr>
                <w:sz w:val="24"/>
              </w:rPr>
              <w:t xml:space="preserve">, от 27.12.2018 </w:t>
            </w:r>
            <w:r>
              <w:rPr>
                <w:sz w:val="24"/>
              </w:rPr>
              <w:t xml:space="preserve">N 538-ФЗ</w:t>
            </w:r>
            <w:r>
              <w:rPr>
                <w:sz w:val="24"/>
              </w:rPr>
              <w:t xml:space="preserve">)</w:t>
            </w:r>
          </w:p>
        </w:tc>
      </w:tr>
      <w:tr>
        <w:tblPrEx>
          <w:tblBorders>
            <w:insideH w:val="nil"/>
          </w:tblBorders>
        </w:tblPrEx>
        <w:tc>
          <w:tcPr>
            <w:tcW w:w="2438" w:type="dxa"/>
            <w:tcBorders>
              <w:bottom w:val="nil"/>
            </w:tcBorders>
          </w:tcPr>
          <w:p>
            <w:pPr>
              <w:pStyle w:val="0"/>
            </w:pPr>
            <w:r>
              <w:rPr>
                <w:sz w:val="24"/>
              </w:rPr>
              <w:t xml:space="preserve">Лесничества с лесными насаждениями лиственных пород (от ограждения территории организации или склада)</w:t>
            </w:r>
          </w:p>
        </w:tc>
        <w:tc>
          <w:tcPr>
            <w:tcW w:w="1814" w:type="dxa"/>
            <w:vAlign w:val="bottom"/>
            <w:tcBorders>
              <w:bottom w:val="nil"/>
            </w:tcBorders>
          </w:tcPr>
          <w:p>
            <w:pPr>
              <w:pStyle w:val="0"/>
              <w:jc w:val="center"/>
            </w:pPr>
            <w:r>
              <w:rPr>
                <w:sz w:val="24"/>
              </w:rPr>
              <w:t xml:space="preserve">20</w:t>
            </w:r>
          </w:p>
        </w:tc>
        <w:tc>
          <w:tcPr>
            <w:tcW w:w="1531" w:type="dxa"/>
            <w:vAlign w:val="bottom"/>
            <w:tcBorders>
              <w:bottom w:val="nil"/>
            </w:tcBorders>
          </w:tcPr>
          <w:p>
            <w:pPr>
              <w:pStyle w:val="0"/>
              <w:jc w:val="center"/>
            </w:pPr>
            <w:r>
              <w:rPr>
                <w:sz w:val="24"/>
              </w:rPr>
              <w:t xml:space="preserve">20</w:t>
            </w:r>
          </w:p>
        </w:tc>
        <w:tc>
          <w:tcPr>
            <w:tcW w:w="1587" w:type="dxa"/>
            <w:vAlign w:val="bottom"/>
            <w:tcBorders>
              <w:bottom w:val="nil"/>
            </w:tcBorders>
          </w:tcPr>
          <w:p>
            <w:pPr>
              <w:pStyle w:val="0"/>
              <w:jc w:val="center"/>
            </w:pPr>
            <w:r>
              <w:rPr>
                <w:sz w:val="24"/>
              </w:rPr>
              <w:t xml:space="preserve">20</w:t>
            </w:r>
          </w:p>
        </w:tc>
        <w:tc>
          <w:tcPr>
            <w:tcW w:w="1701" w:type="dxa"/>
            <w:vAlign w:val="bottom"/>
            <w:tcBorders>
              <w:bottom w:val="nil"/>
            </w:tcBorders>
          </w:tcPr>
          <w:p>
            <w:pPr>
              <w:pStyle w:val="0"/>
              <w:jc w:val="center"/>
            </w:pPr>
            <w:r>
              <w:rPr>
                <w:sz w:val="24"/>
              </w:rPr>
              <w:t xml:space="preserve">20</w:t>
            </w:r>
          </w:p>
        </w:tc>
      </w:tr>
      <w:tr>
        <w:tblPrEx>
          <w:tblBorders>
            <w:insideH w:val="nil"/>
          </w:tblBorders>
        </w:tblPrEx>
        <w:tc>
          <w:tcPr>
            <w:gridSpan w:val="5"/>
            <w:tcW w:w="9071" w:type="dxa"/>
            <w:tcBorders>
              <w:top w:val="nil"/>
            </w:tcBorders>
          </w:tcPr>
          <w:p>
            <w:pPr>
              <w:pStyle w:val="0"/>
              <w:jc w:val="both"/>
            </w:pPr>
            <w:r>
              <w:rPr>
                <w:sz w:val="24"/>
              </w:rPr>
              <w:t xml:space="preserve">(в ред. Федеральных законов от 10.07.2012 </w:t>
            </w:r>
            <w:r>
              <w:rPr>
                <w:sz w:val="24"/>
              </w:rPr>
              <w:t xml:space="preserve">N 117-ФЗ</w:t>
            </w:r>
            <w:r>
              <w:rPr>
                <w:sz w:val="24"/>
              </w:rPr>
              <w:t xml:space="preserve">, от 27.12.2018 </w:t>
            </w:r>
            <w:r>
              <w:rPr>
                <w:sz w:val="24"/>
              </w:rPr>
              <w:t xml:space="preserve">N 538-ФЗ</w:t>
            </w:r>
            <w:r>
              <w:rPr>
                <w:sz w:val="24"/>
              </w:rPr>
              <w:t xml:space="preserve">)</w:t>
            </w:r>
          </w:p>
        </w:tc>
      </w:tr>
      <w:tr>
        <w:tc>
          <w:tcPr>
            <w:tcW w:w="2438" w:type="dxa"/>
          </w:tcPr>
          <w:p>
            <w:pPr>
              <w:pStyle w:val="0"/>
            </w:pPr>
            <w:r>
              <w:rPr>
                <w:sz w:val="24"/>
              </w:rPr>
              <w:t xml:space="preserve">Внутризаводские наземные и подземные технологические трубопроводы, не относящиеся к складу</w:t>
            </w:r>
          </w:p>
        </w:tc>
        <w:tc>
          <w:tcPr>
            <w:tcW w:w="1814" w:type="dxa"/>
            <w:vAlign w:val="bottom"/>
          </w:tcPr>
          <w:p>
            <w:pPr>
              <w:pStyle w:val="0"/>
              <w:jc w:val="center"/>
            </w:pPr>
            <w:r>
              <w:rPr>
                <w:sz w:val="24"/>
              </w:rPr>
              <w:t xml:space="preserve">вне обвалования, но не ближе 20</w:t>
            </w:r>
          </w:p>
        </w:tc>
        <w:tc>
          <w:tcPr>
            <w:tcW w:w="1531" w:type="dxa"/>
            <w:vAlign w:val="bottom"/>
          </w:tcPr>
          <w:p>
            <w:pPr>
              <w:pStyle w:val="0"/>
              <w:jc w:val="center"/>
            </w:pPr>
            <w:r>
              <w:rPr>
                <w:sz w:val="24"/>
              </w:rPr>
              <w:t xml:space="preserve">не ближе 15</w:t>
            </w:r>
          </w:p>
        </w:tc>
        <w:tc>
          <w:tcPr>
            <w:tcW w:w="1587" w:type="dxa"/>
            <w:vAlign w:val="bottom"/>
          </w:tcPr>
          <w:p>
            <w:pPr>
              <w:pStyle w:val="0"/>
              <w:jc w:val="center"/>
            </w:pPr>
            <w:r>
              <w:rPr>
                <w:sz w:val="24"/>
              </w:rPr>
              <w:t xml:space="preserve">вне обвалования, но не ближе 20</w:t>
            </w:r>
          </w:p>
        </w:tc>
        <w:tc>
          <w:tcPr>
            <w:tcW w:w="1701" w:type="dxa"/>
            <w:vAlign w:val="bottom"/>
          </w:tcPr>
          <w:p>
            <w:pPr>
              <w:pStyle w:val="0"/>
              <w:jc w:val="center"/>
            </w:pPr>
            <w:r>
              <w:rPr>
                <w:sz w:val="24"/>
              </w:rPr>
              <w:t xml:space="preserve">не ближе 15</w:t>
            </w:r>
          </w:p>
        </w:tc>
      </w:tr>
      <w:tr>
        <w:tblPrEx>
          <w:tblBorders>
            <w:insideH w:val="nil"/>
          </w:tblBorders>
        </w:tblPrEx>
        <w:tc>
          <w:tcPr>
            <w:tcW w:w="2438" w:type="dxa"/>
            <w:tcBorders>
              <w:bottom w:val="nil"/>
            </w:tcBorders>
          </w:tcPr>
          <w:p>
            <w:pPr>
              <w:pStyle w:val="0"/>
            </w:pPr>
            <w:r>
              <w:rPr>
                <w:sz w:val="24"/>
              </w:rPr>
              <w:t xml:space="preserve">Здания и сооружения организации в производственной зоне при объеме резервуаров, кубические метры:</w:t>
            </w:r>
          </w:p>
        </w:tc>
        <w:tc>
          <w:tcPr>
            <w:tcW w:w="1814" w:type="dxa"/>
            <w:tcBorders>
              <w:bottom w:val="nil"/>
            </w:tcBorders>
          </w:tcPr>
          <w:p>
            <w:pPr>
              <w:pStyle w:val="0"/>
              <w:jc w:val="center"/>
            </w:pPr>
            <w:r>
              <w:rPr>
                <w:sz w:val="24"/>
              </w:rPr>
            </w:r>
          </w:p>
        </w:tc>
        <w:tc>
          <w:tcPr>
            <w:tcW w:w="1531" w:type="dxa"/>
            <w:tcBorders>
              <w:bottom w:val="nil"/>
            </w:tcBorders>
          </w:tcPr>
          <w:p>
            <w:pPr>
              <w:pStyle w:val="0"/>
              <w:jc w:val="center"/>
            </w:pPr>
            <w:r>
              <w:rPr>
                <w:sz w:val="24"/>
              </w:rPr>
            </w:r>
          </w:p>
        </w:tc>
        <w:tc>
          <w:tcPr>
            <w:tcW w:w="1587" w:type="dxa"/>
            <w:tcBorders>
              <w:bottom w:val="nil"/>
            </w:tcBorders>
          </w:tcPr>
          <w:p>
            <w:pPr>
              <w:pStyle w:val="0"/>
              <w:jc w:val="center"/>
            </w:pPr>
            <w:r>
              <w:rPr>
                <w:sz w:val="24"/>
              </w:rPr>
            </w:r>
          </w:p>
        </w:tc>
        <w:tc>
          <w:tcPr>
            <w:tcW w:w="1701" w:type="dxa"/>
            <w:tcBorders>
              <w:bottom w:val="nil"/>
            </w:tcBorders>
          </w:tcPr>
          <w:p>
            <w:pPr>
              <w:pStyle w:val="0"/>
              <w:jc w:val="center"/>
            </w:pPr>
            <w:r>
              <w:rPr>
                <w:sz w:val="24"/>
              </w:rPr>
            </w:r>
          </w:p>
        </w:tc>
      </w:tr>
      <w:tr>
        <w:tblPrEx>
          <w:tblBorders>
            <w:insideH w:val="nil"/>
          </w:tblBorders>
        </w:tblPrEx>
        <w:tc>
          <w:tcPr>
            <w:gridSpan w:val="5"/>
            <w:tcW w:w="9071" w:type="dxa"/>
            <w:tcBorders>
              <w:top w:val="nil"/>
              <w:bottom w:val="nil"/>
            </w:tcBorders>
          </w:tcPr>
          <w:p>
            <w:pPr>
              <w:pStyle w:val="0"/>
              <w:jc w:val="both"/>
            </w:pPr>
            <w:r>
              <w:rPr>
                <w:sz w:val="24"/>
              </w:rPr>
              <w:t xml:space="preserve">(в ред. Федерального </w:t>
            </w:r>
            <w:r>
              <w:rPr>
                <w:sz w:val="24"/>
              </w:rPr>
              <w:t xml:space="preserve">закона</w:t>
            </w:r>
            <w:r>
              <w:rPr>
                <w:sz w:val="24"/>
              </w:rPr>
              <w:t xml:space="preserve"> от 10.07.2012 N 117-ФЗ)</w:t>
            </w:r>
          </w:p>
        </w:tc>
      </w:tr>
      <w:tr>
        <w:tblPrEx>
          <w:tblBorders>
            <w:insideH w:val="nil"/>
          </w:tblBorders>
        </w:tblPrEx>
        <w:tc>
          <w:tcPr>
            <w:tcW w:w="2438" w:type="dxa"/>
            <w:tcBorders>
              <w:top w:val="nil"/>
              <w:bottom w:val="nil"/>
            </w:tcBorders>
          </w:tcPr>
          <w:p>
            <w:pPr>
              <w:pStyle w:val="0"/>
              <w:ind w:left="283"/>
            </w:pPr>
            <w:r>
              <w:rPr>
                <w:sz w:val="24"/>
              </w:rPr>
              <w:t xml:space="preserve">2000 - 5000</w:t>
            </w:r>
          </w:p>
        </w:tc>
        <w:tc>
          <w:tcPr>
            <w:tcW w:w="1814" w:type="dxa"/>
            <w:tcBorders>
              <w:top w:val="nil"/>
              <w:bottom w:val="nil"/>
            </w:tcBorders>
          </w:tcPr>
          <w:p>
            <w:pPr>
              <w:pStyle w:val="0"/>
              <w:jc w:val="center"/>
            </w:pPr>
            <w:r>
              <w:rPr>
                <w:sz w:val="24"/>
              </w:rPr>
              <w:t xml:space="preserve">150</w:t>
            </w:r>
          </w:p>
        </w:tc>
        <w:tc>
          <w:tcPr>
            <w:tcW w:w="1531" w:type="dxa"/>
            <w:tcBorders>
              <w:top w:val="nil"/>
              <w:bottom w:val="nil"/>
            </w:tcBorders>
          </w:tcPr>
          <w:p>
            <w:pPr>
              <w:pStyle w:val="0"/>
              <w:jc w:val="center"/>
            </w:pPr>
            <w:r>
              <w:rPr>
                <w:sz w:val="24"/>
              </w:rPr>
              <w:t xml:space="preserve">120</w:t>
            </w:r>
          </w:p>
        </w:tc>
        <w:tc>
          <w:tcPr>
            <w:tcW w:w="1587" w:type="dxa"/>
            <w:tcBorders>
              <w:top w:val="nil"/>
              <w:bottom w:val="nil"/>
            </w:tcBorders>
          </w:tcPr>
          <w:p>
            <w:pPr>
              <w:pStyle w:val="0"/>
              <w:jc w:val="center"/>
            </w:pPr>
            <w:r>
              <w:rPr>
                <w:sz w:val="24"/>
              </w:rPr>
              <w:t xml:space="preserve">150</w:t>
            </w:r>
          </w:p>
        </w:tc>
        <w:tc>
          <w:tcPr>
            <w:tcW w:w="1701" w:type="dxa"/>
            <w:tcBorders>
              <w:top w:val="nil"/>
              <w:bottom w:val="nil"/>
            </w:tcBorders>
          </w:tcPr>
          <w:p>
            <w:pPr>
              <w:pStyle w:val="0"/>
              <w:jc w:val="center"/>
            </w:pPr>
            <w:r>
              <w:rPr>
                <w:sz w:val="24"/>
              </w:rPr>
              <w:t xml:space="preserve">100</w:t>
            </w:r>
          </w:p>
        </w:tc>
      </w:tr>
      <w:tr>
        <w:tblPrEx>
          <w:tblBorders>
            <w:insideH w:val="nil"/>
          </w:tblBorders>
        </w:tblPrEx>
        <w:tc>
          <w:tcPr>
            <w:tcW w:w="2438" w:type="dxa"/>
            <w:tcBorders>
              <w:top w:val="nil"/>
            </w:tcBorders>
          </w:tcPr>
          <w:p>
            <w:pPr>
              <w:pStyle w:val="0"/>
              <w:ind w:left="283"/>
            </w:pPr>
            <w:r>
              <w:rPr>
                <w:sz w:val="24"/>
              </w:rPr>
              <w:t xml:space="preserve">6000 - 10 000</w:t>
            </w:r>
          </w:p>
        </w:tc>
        <w:tc>
          <w:tcPr>
            <w:tcW w:w="1814" w:type="dxa"/>
            <w:tcBorders>
              <w:top w:val="nil"/>
            </w:tcBorders>
          </w:tcPr>
          <w:p>
            <w:pPr>
              <w:pStyle w:val="0"/>
              <w:jc w:val="center"/>
            </w:pPr>
            <w:r>
              <w:rPr>
                <w:sz w:val="24"/>
              </w:rPr>
              <w:t xml:space="preserve">250</w:t>
            </w:r>
          </w:p>
        </w:tc>
        <w:tc>
          <w:tcPr>
            <w:tcW w:w="1531" w:type="dxa"/>
            <w:tcBorders>
              <w:top w:val="nil"/>
            </w:tcBorders>
          </w:tcPr>
          <w:p>
            <w:pPr>
              <w:pStyle w:val="0"/>
              <w:jc w:val="center"/>
            </w:pPr>
            <w:r>
              <w:rPr>
                <w:sz w:val="24"/>
              </w:rPr>
              <w:t xml:space="preserve">200</w:t>
            </w:r>
          </w:p>
        </w:tc>
        <w:tc>
          <w:tcPr>
            <w:tcW w:w="1587" w:type="dxa"/>
            <w:tcBorders>
              <w:top w:val="nil"/>
            </w:tcBorders>
          </w:tcPr>
          <w:p>
            <w:pPr>
              <w:pStyle w:val="0"/>
              <w:jc w:val="center"/>
            </w:pPr>
            <w:r>
              <w:rPr>
                <w:sz w:val="24"/>
              </w:rPr>
              <w:t xml:space="preserve">200</w:t>
            </w:r>
          </w:p>
        </w:tc>
        <w:tc>
          <w:tcPr>
            <w:tcW w:w="1701" w:type="dxa"/>
            <w:tcBorders>
              <w:top w:val="nil"/>
            </w:tcBorders>
          </w:tcPr>
          <w:p>
            <w:pPr>
              <w:pStyle w:val="0"/>
              <w:jc w:val="center"/>
            </w:pPr>
            <w:r>
              <w:rPr>
                <w:sz w:val="24"/>
              </w:rPr>
              <w:t xml:space="preserve">125</w:t>
            </w:r>
          </w:p>
        </w:tc>
      </w:tr>
      <w:tr>
        <w:tc>
          <w:tcPr>
            <w:tcW w:w="2438" w:type="dxa"/>
          </w:tcPr>
          <w:p>
            <w:pPr>
              <w:pStyle w:val="0"/>
            </w:pPr>
            <w:r>
              <w:rPr>
                <w:sz w:val="24"/>
              </w:rPr>
              <w:t xml:space="preserve">Факельная установка (до ствола факела)</w:t>
            </w:r>
          </w:p>
        </w:tc>
        <w:tc>
          <w:tcPr>
            <w:tcW w:w="1814" w:type="dxa"/>
            <w:vAlign w:val="bottom"/>
          </w:tcPr>
          <w:p>
            <w:pPr>
              <w:pStyle w:val="0"/>
              <w:jc w:val="center"/>
            </w:pPr>
            <w:r>
              <w:rPr>
                <w:sz w:val="24"/>
              </w:rPr>
              <w:t xml:space="preserve">150</w:t>
            </w:r>
          </w:p>
        </w:tc>
        <w:tc>
          <w:tcPr>
            <w:tcW w:w="1531" w:type="dxa"/>
            <w:vAlign w:val="bottom"/>
          </w:tcPr>
          <w:p>
            <w:pPr>
              <w:pStyle w:val="0"/>
              <w:jc w:val="center"/>
            </w:pPr>
            <w:r>
              <w:rPr>
                <w:sz w:val="24"/>
              </w:rPr>
              <w:t xml:space="preserve">100</w:t>
            </w:r>
          </w:p>
        </w:tc>
        <w:tc>
          <w:tcPr>
            <w:tcW w:w="1587" w:type="dxa"/>
            <w:vAlign w:val="bottom"/>
          </w:tcPr>
          <w:p>
            <w:pPr>
              <w:pStyle w:val="0"/>
              <w:jc w:val="center"/>
            </w:pPr>
            <w:r>
              <w:rPr>
                <w:sz w:val="24"/>
              </w:rPr>
              <w:t xml:space="preserve">150</w:t>
            </w:r>
          </w:p>
        </w:tc>
        <w:tc>
          <w:tcPr>
            <w:tcW w:w="1701" w:type="dxa"/>
            <w:vAlign w:val="bottom"/>
          </w:tcPr>
          <w:p>
            <w:pPr>
              <w:pStyle w:val="0"/>
              <w:jc w:val="center"/>
            </w:pPr>
            <w:r>
              <w:rPr>
                <w:sz w:val="24"/>
              </w:rPr>
              <w:t xml:space="preserve">200</w:t>
            </w:r>
          </w:p>
        </w:tc>
      </w:tr>
      <w:tr>
        <w:tblPrEx>
          <w:tblBorders>
            <w:insideH w:val="nil"/>
          </w:tblBorders>
        </w:tblPrEx>
        <w:tc>
          <w:tcPr>
            <w:tcW w:w="2438" w:type="dxa"/>
            <w:tcBorders>
              <w:bottom w:val="nil"/>
            </w:tcBorders>
          </w:tcPr>
          <w:p>
            <w:pPr>
              <w:pStyle w:val="0"/>
              <w:jc w:val="both"/>
            </w:pPr>
            <w:r>
              <w:rPr>
                <w:sz w:val="24"/>
              </w:rPr>
              <w:t xml:space="preserve">Здания и сооружения в зоне, прилегающей к территории организации (административной зоне)</w:t>
            </w:r>
          </w:p>
        </w:tc>
        <w:tc>
          <w:tcPr>
            <w:tcW w:w="1814" w:type="dxa"/>
            <w:vAlign w:val="bottom"/>
            <w:tcBorders>
              <w:bottom w:val="nil"/>
            </w:tcBorders>
          </w:tcPr>
          <w:p>
            <w:pPr>
              <w:pStyle w:val="0"/>
              <w:jc w:val="center"/>
            </w:pPr>
            <w:r>
              <w:rPr>
                <w:sz w:val="24"/>
              </w:rPr>
              <w:t xml:space="preserve">250</w:t>
            </w:r>
          </w:p>
        </w:tc>
        <w:tc>
          <w:tcPr>
            <w:tcW w:w="1531" w:type="dxa"/>
            <w:vAlign w:val="bottom"/>
            <w:tcBorders>
              <w:bottom w:val="nil"/>
            </w:tcBorders>
          </w:tcPr>
          <w:p>
            <w:pPr>
              <w:pStyle w:val="0"/>
              <w:jc w:val="center"/>
            </w:pPr>
            <w:r>
              <w:rPr>
                <w:sz w:val="24"/>
              </w:rPr>
              <w:t xml:space="preserve">200</w:t>
            </w:r>
          </w:p>
        </w:tc>
        <w:tc>
          <w:tcPr>
            <w:tcW w:w="1587" w:type="dxa"/>
            <w:vAlign w:val="bottom"/>
            <w:tcBorders>
              <w:bottom w:val="nil"/>
            </w:tcBorders>
          </w:tcPr>
          <w:p>
            <w:pPr>
              <w:pStyle w:val="0"/>
              <w:jc w:val="center"/>
            </w:pPr>
            <w:r>
              <w:rPr>
                <w:sz w:val="24"/>
              </w:rPr>
              <w:t xml:space="preserve">250</w:t>
            </w:r>
          </w:p>
        </w:tc>
        <w:tc>
          <w:tcPr>
            <w:tcW w:w="1701" w:type="dxa"/>
            <w:vAlign w:val="bottom"/>
            <w:tcBorders>
              <w:bottom w:val="nil"/>
            </w:tcBorders>
          </w:tcPr>
          <w:p>
            <w:pPr>
              <w:pStyle w:val="0"/>
              <w:jc w:val="center"/>
            </w:pPr>
            <w:r>
              <w:rPr>
                <w:sz w:val="24"/>
              </w:rPr>
              <w:t xml:space="preserve">200</w:t>
            </w:r>
          </w:p>
        </w:tc>
      </w:tr>
      <w:tr>
        <w:tblPrEx>
          <w:tblBorders>
            <w:insideH w:val="nil"/>
          </w:tblBorders>
        </w:tblPrEx>
        <w:tc>
          <w:tcPr>
            <w:gridSpan w:val="5"/>
            <w:tcW w:w="9071" w:type="dxa"/>
            <w:tcBorders>
              <w:top w:val="nil"/>
            </w:tcBorders>
          </w:tcPr>
          <w:p>
            <w:pPr>
              <w:pStyle w:val="0"/>
              <w:jc w:val="both"/>
            </w:pPr>
            <w:r>
              <w:rPr>
                <w:sz w:val="24"/>
              </w:rPr>
              <w:t xml:space="preserve">(в ред. Федерального </w:t>
            </w:r>
            <w:r>
              <w:rPr>
                <w:sz w:val="24"/>
              </w:rPr>
              <w:t xml:space="preserve">закона</w:t>
            </w:r>
            <w:r>
              <w:rPr>
                <w:sz w:val="24"/>
              </w:rPr>
              <w:t xml:space="preserve"> от 10.07.2012 N 117-ФЗ)</w:t>
            </w:r>
          </w:p>
        </w:tc>
      </w:tr>
    </w:tbl>
    <w:p>
      <w:pPr>
        <w:pStyle w:val="0"/>
        <w:ind w:firstLine="540"/>
        <w:jc w:val="both"/>
      </w:pPr>
      <w:r>
        <w:rPr>
          <w:sz w:val="24"/>
        </w:rPr>
      </w:r>
    </w:p>
    <w:bookmarkStart w:id="2621" w:name="P2621"/>
    <w:bookmarkEnd w:id="2621"/>
    <w:p>
      <w:pPr>
        <w:pStyle w:val="0"/>
        <w:outlineLvl w:val="1"/>
        <w:jc w:val="center"/>
      </w:pPr>
      <w:r>
        <w:rPr>
          <w:sz w:val="24"/>
        </w:rPr>
        <w:t xml:space="preserve">Таблица 18</w:t>
      </w:r>
    </w:p>
    <w:p>
      <w:pPr>
        <w:pStyle w:val="0"/>
        <w:jc w:val="right"/>
      </w:pPr>
      <w:r>
        <w:rPr>
          <w:sz w:val="24"/>
        </w:rPr>
      </w:r>
    </w:p>
    <w:bookmarkStart w:id="2623" w:name="P2623"/>
    <w:bookmarkEnd w:id="2623"/>
    <w:p>
      <w:pPr>
        <w:pStyle w:val="2"/>
        <w:jc w:val="center"/>
      </w:pPr>
      <w:r>
        <w:rPr>
          <w:sz w:val="24"/>
        </w:rPr>
        <w:t xml:space="preserve">Противопожарные расстояния от складов сжиженных</w:t>
      </w:r>
    </w:p>
    <w:p>
      <w:pPr>
        <w:pStyle w:val="2"/>
        <w:jc w:val="center"/>
      </w:pPr>
      <w:r>
        <w:rPr>
          <w:sz w:val="24"/>
        </w:rPr>
        <w:t xml:space="preserve">углеводородных газов общей вместимостью от 10 000 до 20 000</w:t>
      </w:r>
    </w:p>
    <w:p>
      <w:pPr>
        <w:pStyle w:val="2"/>
        <w:jc w:val="center"/>
      </w:pPr>
      <w:r>
        <w:rPr>
          <w:sz w:val="24"/>
        </w:rPr>
        <w:t xml:space="preserve">кубических метров при хранении под давлением либо от 40 000</w:t>
      </w:r>
    </w:p>
    <w:p>
      <w:pPr>
        <w:pStyle w:val="2"/>
        <w:jc w:val="center"/>
      </w:pPr>
      <w:r>
        <w:rPr>
          <w:sz w:val="24"/>
        </w:rPr>
        <w:t xml:space="preserve">до 60 000 кубических метров при хранении изотермическим</w:t>
      </w:r>
    </w:p>
    <w:p>
      <w:pPr>
        <w:pStyle w:val="2"/>
        <w:jc w:val="center"/>
      </w:pPr>
      <w:r>
        <w:rPr>
          <w:sz w:val="24"/>
        </w:rPr>
        <w:t xml:space="preserve">способом в надземных резервуарах или от 40 000 до 100 000</w:t>
      </w:r>
    </w:p>
    <w:p>
      <w:pPr>
        <w:pStyle w:val="2"/>
        <w:jc w:val="center"/>
      </w:pPr>
      <w:r>
        <w:rPr>
          <w:sz w:val="24"/>
        </w:rPr>
        <w:t xml:space="preserve">кубических метров при хранении изотермическим способом</w:t>
      </w:r>
    </w:p>
    <w:p>
      <w:pPr>
        <w:pStyle w:val="2"/>
        <w:jc w:val="center"/>
      </w:pPr>
      <w:r>
        <w:rPr>
          <w:sz w:val="24"/>
        </w:rPr>
        <w:t xml:space="preserve">в подземных резервуарах, входящих в состав</w:t>
      </w:r>
    </w:p>
    <w:p>
      <w:pPr>
        <w:pStyle w:val="2"/>
        <w:jc w:val="center"/>
      </w:pPr>
      <w:r>
        <w:rPr>
          <w:sz w:val="24"/>
        </w:rPr>
        <w:t xml:space="preserve">товарно-сырьевой базы, до промышленных</w:t>
      </w:r>
    </w:p>
    <w:p>
      <w:pPr>
        <w:pStyle w:val="2"/>
        <w:jc w:val="center"/>
      </w:pPr>
      <w:r>
        <w:rPr>
          <w:sz w:val="24"/>
        </w:rPr>
        <w:t xml:space="preserve">и гражданских объектов</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1814"/>
        <w:gridCol w:w="1531"/>
        <w:gridCol w:w="1587"/>
        <w:gridCol w:w="1701"/>
      </w:tblGrid>
      <w:tr>
        <w:tc>
          <w:tcPr>
            <w:tcW w:w="2438" w:type="dxa"/>
            <w:vMerge w:val="restart"/>
          </w:tcPr>
          <w:p>
            <w:pPr>
              <w:pStyle w:val="0"/>
              <w:jc w:val="center"/>
            </w:pPr>
            <w:r>
              <w:rPr>
                <w:sz w:val="24"/>
              </w:rPr>
              <w:t xml:space="preserve">Наименование здания и сооружения</w:t>
            </w:r>
          </w:p>
        </w:tc>
        <w:tc>
          <w:tcPr>
            <w:gridSpan w:val="4"/>
            <w:tcW w:w="6633" w:type="dxa"/>
          </w:tcPr>
          <w:p>
            <w:pPr>
              <w:pStyle w:val="0"/>
              <w:jc w:val="center"/>
            </w:pPr>
            <w:r>
              <w:rPr>
                <w:sz w:val="24"/>
              </w:rPr>
              <w:t xml:space="preserve">Противопожарные расстояния, метры</w:t>
            </w:r>
          </w:p>
        </w:tc>
      </w:tr>
      <w:tr>
        <w:tc>
          <w:tcPr>
            <w:vMerge w:val="continue"/>
          </w:tcPr>
          <w:p/>
        </w:tc>
        <w:tc>
          <w:tcPr>
            <w:tcW w:w="1814" w:type="dxa"/>
          </w:tcPr>
          <w:p>
            <w:pPr>
              <w:pStyle w:val="0"/>
              <w:jc w:val="center"/>
            </w:pPr>
            <w:r>
              <w:rPr>
                <w:sz w:val="24"/>
              </w:rPr>
              <w:t xml:space="preserve">Резервуары надземные под давлением</w:t>
            </w:r>
          </w:p>
        </w:tc>
        <w:tc>
          <w:tcPr>
            <w:tcW w:w="1531" w:type="dxa"/>
          </w:tcPr>
          <w:p>
            <w:pPr>
              <w:pStyle w:val="0"/>
              <w:jc w:val="center"/>
            </w:pPr>
            <w:r>
              <w:rPr>
                <w:sz w:val="24"/>
              </w:rPr>
              <w:t xml:space="preserve">Резервуары подземные под давлением</w:t>
            </w:r>
          </w:p>
        </w:tc>
        <w:tc>
          <w:tcPr>
            <w:tcW w:w="1587" w:type="dxa"/>
          </w:tcPr>
          <w:p>
            <w:pPr>
              <w:pStyle w:val="0"/>
              <w:jc w:val="center"/>
            </w:pPr>
            <w:r>
              <w:rPr>
                <w:sz w:val="24"/>
              </w:rPr>
              <w:t xml:space="preserve">Резервуары надземные изотермические</w:t>
            </w:r>
          </w:p>
        </w:tc>
        <w:tc>
          <w:tcPr>
            <w:tcW w:w="1701" w:type="dxa"/>
          </w:tcPr>
          <w:p>
            <w:pPr>
              <w:pStyle w:val="0"/>
              <w:jc w:val="center"/>
            </w:pPr>
            <w:r>
              <w:rPr>
                <w:sz w:val="24"/>
              </w:rPr>
              <w:t xml:space="preserve">Резервуары подземные изотермические</w:t>
            </w:r>
          </w:p>
        </w:tc>
      </w:tr>
      <w:tr>
        <w:tc>
          <w:tcPr>
            <w:tcW w:w="2438" w:type="dxa"/>
          </w:tcPr>
          <w:p>
            <w:pPr>
              <w:pStyle w:val="0"/>
            </w:pPr>
            <w:r>
              <w:rPr>
                <w:sz w:val="24"/>
              </w:rPr>
              <w:t xml:space="preserve">Трамвайные пути и троллейбусные линии, подъездные железнодорожные пути (до подошвы насыпи или бровки выемки) и автомобильные дороги общей сети (край проезжей части)</w:t>
            </w:r>
          </w:p>
        </w:tc>
        <w:tc>
          <w:tcPr>
            <w:tcW w:w="1814" w:type="dxa"/>
            <w:vAlign w:val="bottom"/>
          </w:tcPr>
          <w:p>
            <w:pPr>
              <w:pStyle w:val="0"/>
              <w:jc w:val="center"/>
            </w:pPr>
            <w:r>
              <w:rPr>
                <w:sz w:val="24"/>
              </w:rPr>
              <w:t xml:space="preserve">100</w:t>
            </w:r>
          </w:p>
        </w:tc>
        <w:tc>
          <w:tcPr>
            <w:tcW w:w="1531" w:type="dxa"/>
            <w:vAlign w:val="bottom"/>
          </w:tcPr>
          <w:p>
            <w:pPr>
              <w:pStyle w:val="0"/>
              <w:jc w:val="center"/>
            </w:pPr>
            <w:r>
              <w:rPr>
                <w:sz w:val="24"/>
              </w:rPr>
              <w:t xml:space="preserve">50</w:t>
            </w:r>
          </w:p>
        </w:tc>
        <w:tc>
          <w:tcPr>
            <w:tcW w:w="1587" w:type="dxa"/>
            <w:vAlign w:val="bottom"/>
          </w:tcPr>
          <w:p>
            <w:pPr>
              <w:pStyle w:val="0"/>
              <w:jc w:val="center"/>
            </w:pPr>
            <w:r>
              <w:rPr>
                <w:sz w:val="24"/>
              </w:rPr>
              <w:t xml:space="preserve">100</w:t>
            </w:r>
          </w:p>
        </w:tc>
        <w:tc>
          <w:tcPr>
            <w:tcW w:w="1701" w:type="dxa"/>
            <w:vAlign w:val="bottom"/>
          </w:tcPr>
          <w:p>
            <w:pPr>
              <w:pStyle w:val="0"/>
              <w:jc w:val="center"/>
            </w:pPr>
            <w:r>
              <w:rPr>
                <w:sz w:val="24"/>
              </w:rPr>
              <w:t xml:space="preserve">50</w:t>
            </w:r>
          </w:p>
        </w:tc>
      </w:tr>
      <w:tr>
        <w:tc>
          <w:tcPr>
            <w:tcW w:w="2438" w:type="dxa"/>
          </w:tcPr>
          <w:p>
            <w:pPr>
              <w:pStyle w:val="0"/>
            </w:pPr>
            <w:r>
              <w:rPr>
                <w:sz w:val="24"/>
              </w:rPr>
              <w:t xml:space="preserve">Линии электропередачи (воздушные)</w:t>
            </w:r>
          </w:p>
        </w:tc>
        <w:tc>
          <w:tcPr>
            <w:tcW w:w="1814" w:type="dxa"/>
          </w:tcPr>
          <w:p>
            <w:pPr>
              <w:pStyle w:val="0"/>
              <w:jc w:val="center"/>
            </w:pPr>
            <w:r>
              <w:rPr>
                <w:sz w:val="24"/>
              </w:rPr>
              <w:t xml:space="preserve">не менее 1,5 высоты опоры</w:t>
            </w:r>
          </w:p>
        </w:tc>
        <w:tc>
          <w:tcPr>
            <w:tcW w:w="1531" w:type="dxa"/>
          </w:tcPr>
          <w:p>
            <w:pPr>
              <w:pStyle w:val="0"/>
              <w:jc w:val="center"/>
            </w:pPr>
            <w:r>
              <w:rPr>
                <w:sz w:val="24"/>
              </w:rPr>
              <w:t xml:space="preserve">не менее 1,5 высоты опоры</w:t>
            </w:r>
          </w:p>
        </w:tc>
        <w:tc>
          <w:tcPr>
            <w:tcW w:w="1587" w:type="dxa"/>
          </w:tcPr>
          <w:p>
            <w:pPr>
              <w:pStyle w:val="0"/>
              <w:jc w:val="center"/>
            </w:pPr>
            <w:r>
              <w:rPr>
                <w:sz w:val="24"/>
              </w:rPr>
              <w:t xml:space="preserve">не менее 1,5 высоты опоры</w:t>
            </w:r>
          </w:p>
        </w:tc>
        <w:tc>
          <w:tcPr>
            <w:tcW w:w="1701" w:type="dxa"/>
          </w:tcPr>
          <w:p>
            <w:pPr>
              <w:pStyle w:val="0"/>
              <w:jc w:val="center"/>
            </w:pPr>
            <w:r>
              <w:rPr>
                <w:sz w:val="24"/>
              </w:rPr>
              <w:t xml:space="preserve">не менее 1,5 высоты опоры</w:t>
            </w:r>
          </w:p>
        </w:tc>
      </w:tr>
      <w:tr>
        <w:tblPrEx>
          <w:tblBorders>
            <w:insideH w:val="nil"/>
          </w:tblBorders>
        </w:tblPrEx>
        <w:tc>
          <w:tcPr>
            <w:tcW w:w="2438" w:type="dxa"/>
            <w:tcBorders>
              <w:bottom w:val="nil"/>
            </w:tcBorders>
          </w:tcPr>
          <w:p>
            <w:pPr>
              <w:pStyle w:val="0"/>
            </w:pPr>
            <w:r>
              <w:rPr>
                <w:sz w:val="24"/>
              </w:rPr>
              <w:t xml:space="preserve">Здания и сооружения производственной, складской, подсобной зоны товарно-сырьевой базы или склада</w:t>
            </w:r>
          </w:p>
        </w:tc>
        <w:tc>
          <w:tcPr>
            <w:tcW w:w="1814" w:type="dxa"/>
            <w:vAlign w:val="bottom"/>
            <w:tcBorders>
              <w:bottom w:val="nil"/>
            </w:tcBorders>
          </w:tcPr>
          <w:p>
            <w:pPr>
              <w:pStyle w:val="0"/>
              <w:jc w:val="center"/>
            </w:pPr>
            <w:r>
              <w:rPr>
                <w:sz w:val="24"/>
              </w:rPr>
              <w:t xml:space="preserve">300</w:t>
            </w:r>
          </w:p>
        </w:tc>
        <w:tc>
          <w:tcPr>
            <w:tcW w:w="1531" w:type="dxa"/>
            <w:vAlign w:val="bottom"/>
            <w:tcBorders>
              <w:bottom w:val="nil"/>
            </w:tcBorders>
          </w:tcPr>
          <w:p>
            <w:pPr>
              <w:pStyle w:val="0"/>
              <w:jc w:val="center"/>
            </w:pPr>
            <w:r>
              <w:rPr>
                <w:sz w:val="24"/>
              </w:rPr>
              <w:t xml:space="preserve">250</w:t>
            </w:r>
          </w:p>
        </w:tc>
        <w:tc>
          <w:tcPr>
            <w:tcW w:w="1587" w:type="dxa"/>
            <w:vAlign w:val="bottom"/>
            <w:tcBorders>
              <w:bottom w:val="nil"/>
            </w:tcBorders>
          </w:tcPr>
          <w:p>
            <w:pPr>
              <w:pStyle w:val="0"/>
              <w:jc w:val="center"/>
            </w:pPr>
            <w:r>
              <w:rPr>
                <w:sz w:val="24"/>
              </w:rPr>
              <w:t xml:space="preserve">300</w:t>
            </w:r>
          </w:p>
        </w:tc>
        <w:tc>
          <w:tcPr>
            <w:tcW w:w="1701" w:type="dxa"/>
            <w:vAlign w:val="bottom"/>
            <w:tcBorders>
              <w:bottom w:val="nil"/>
            </w:tcBorders>
          </w:tcPr>
          <w:p>
            <w:pPr>
              <w:pStyle w:val="0"/>
              <w:jc w:val="center"/>
            </w:pPr>
            <w:r>
              <w:rPr>
                <w:sz w:val="24"/>
              </w:rPr>
              <w:t xml:space="preserve">200</w:t>
            </w:r>
          </w:p>
        </w:tc>
      </w:tr>
      <w:tr>
        <w:tblPrEx>
          <w:tblBorders>
            <w:insideH w:val="nil"/>
          </w:tblBorders>
        </w:tblPrEx>
        <w:tc>
          <w:tcPr>
            <w:gridSpan w:val="5"/>
            <w:tcW w:w="9071" w:type="dxa"/>
            <w:tcBorders>
              <w:top w:val="nil"/>
            </w:tcBorders>
          </w:tcPr>
          <w:p>
            <w:pPr>
              <w:pStyle w:val="0"/>
              <w:jc w:val="both"/>
            </w:pPr>
            <w:r>
              <w:rPr>
                <w:sz w:val="24"/>
              </w:rPr>
              <w:t xml:space="preserve">(в ред. Федерального </w:t>
            </w:r>
            <w:r>
              <w:rPr>
                <w:sz w:val="24"/>
              </w:rPr>
              <w:t xml:space="preserve">закона</w:t>
            </w:r>
            <w:r>
              <w:rPr>
                <w:sz w:val="24"/>
              </w:rPr>
              <w:t xml:space="preserve"> от 10.07.2012 N 117-ФЗ)</w:t>
            </w:r>
          </w:p>
        </w:tc>
      </w:tr>
      <w:tr>
        <w:tblPrEx>
          <w:tblBorders>
            <w:insideH w:val="nil"/>
          </w:tblBorders>
        </w:tblPrEx>
        <w:tc>
          <w:tcPr>
            <w:tcW w:w="2438" w:type="dxa"/>
            <w:tcBorders>
              <w:bottom w:val="nil"/>
            </w:tcBorders>
          </w:tcPr>
          <w:p>
            <w:pPr>
              <w:pStyle w:val="0"/>
            </w:pPr>
            <w:r>
              <w:rPr>
                <w:sz w:val="24"/>
              </w:rPr>
              <w:t xml:space="preserve">Здания и сооружения предзаводской (административной) зоны организации</w:t>
            </w:r>
          </w:p>
        </w:tc>
        <w:tc>
          <w:tcPr>
            <w:tcW w:w="1814" w:type="dxa"/>
            <w:vAlign w:val="bottom"/>
            <w:tcBorders>
              <w:bottom w:val="nil"/>
            </w:tcBorders>
          </w:tcPr>
          <w:p>
            <w:pPr>
              <w:pStyle w:val="0"/>
              <w:jc w:val="center"/>
            </w:pPr>
            <w:r>
              <w:rPr>
                <w:sz w:val="24"/>
              </w:rPr>
              <w:t xml:space="preserve">500</w:t>
            </w:r>
          </w:p>
        </w:tc>
        <w:tc>
          <w:tcPr>
            <w:tcW w:w="1531" w:type="dxa"/>
            <w:vAlign w:val="bottom"/>
            <w:tcBorders>
              <w:bottom w:val="nil"/>
            </w:tcBorders>
          </w:tcPr>
          <w:p>
            <w:pPr>
              <w:pStyle w:val="0"/>
              <w:jc w:val="center"/>
            </w:pPr>
            <w:r>
              <w:rPr>
                <w:sz w:val="24"/>
              </w:rPr>
              <w:t xml:space="preserve">300</w:t>
            </w:r>
          </w:p>
        </w:tc>
        <w:tc>
          <w:tcPr>
            <w:tcW w:w="1587" w:type="dxa"/>
            <w:vAlign w:val="bottom"/>
            <w:tcBorders>
              <w:bottom w:val="nil"/>
            </w:tcBorders>
          </w:tcPr>
          <w:p>
            <w:pPr>
              <w:pStyle w:val="0"/>
              <w:jc w:val="center"/>
            </w:pPr>
            <w:r>
              <w:rPr>
                <w:sz w:val="24"/>
              </w:rPr>
              <w:t xml:space="preserve">500</w:t>
            </w:r>
          </w:p>
        </w:tc>
        <w:tc>
          <w:tcPr>
            <w:tcW w:w="1701" w:type="dxa"/>
            <w:vAlign w:val="bottom"/>
            <w:tcBorders>
              <w:bottom w:val="nil"/>
            </w:tcBorders>
          </w:tcPr>
          <w:p>
            <w:pPr>
              <w:pStyle w:val="0"/>
              <w:jc w:val="center"/>
            </w:pPr>
            <w:r>
              <w:rPr>
                <w:sz w:val="24"/>
              </w:rPr>
              <w:t xml:space="preserve">300</w:t>
            </w:r>
          </w:p>
        </w:tc>
      </w:tr>
      <w:tr>
        <w:tblPrEx>
          <w:tblBorders>
            <w:insideH w:val="nil"/>
          </w:tblBorders>
        </w:tblPrEx>
        <w:tc>
          <w:tcPr>
            <w:gridSpan w:val="5"/>
            <w:tcW w:w="9071" w:type="dxa"/>
            <w:tcBorders>
              <w:top w:val="nil"/>
            </w:tcBorders>
          </w:tcPr>
          <w:p>
            <w:pPr>
              <w:pStyle w:val="0"/>
              <w:jc w:val="both"/>
            </w:pPr>
            <w:r>
              <w:rPr>
                <w:sz w:val="24"/>
              </w:rPr>
              <w:t xml:space="preserve">(в ред. Федерального </w:t>
            </w:r>
            <w:r>
              <w:rPr>
                <w:sz w:val="24"/>
              </w:rPr>
              <w:t xml:space="preserve">закона</w:t>
            </w:r>
            <w:r>
              <w:rPr>
                <w:sz w:val="24"/>
              </w:rPr>
              <w:t xml:space="preserve"> от 10.07.2012 N 117-ФЗ)</w:t>
            </w:r>
          </w:p>
        </w:tc>
      </w:tr>
      <w:tr>
        <w:tc>
          <w:tcPr>
            <w:tcW w:w="2438" w:type="dxa"/>
          </w:tcPr>
          <w:p>
            <w:pPr>
              <w:pStyle w:val="0"/>
            </w:pPr>
            <w:r>
              <w:rPr>
                <w:sz w:val="24"/>
              </w:rPr>
              <w:t xml:space="preserve">Факельная установка (до ствола факела)</w:t>
            </w:r>
          </w:p>
        </w:tc>
        <w:tc>
          <w:tcPr>
            <w:tcW w:w="1814" w:type="dxa"/>
            <w:vAlign w:val="bottom"/>
          </w:tcPr>
          <w:p>
            <w:pPr>
              <w:pStyle w:val="0"/>
              <w:jc w:val="center"/>
            </w:pPr>
            <w:r>
              <w:rPr>
                <w:sz w:val="24"/>
              </w:rPr>
              <w:t xml:space="preserve">200</w:t>
            </w:r>
          </w:p>
        </w:tc>
        <w:tc>
          <w:tcPr>
            <w:tcW w:w="1531" w:type="dxa"/>
            <w:vAlign w:val="bottom"/>
          </w:tcPr>
          <w:p>
            <w:pPr>
              <w:pStyle w:val="0"/>
              <w:jc w:val="center"/>
            </w:pPr>
            <w:r>
              <w:rPr>
                <w:sz w:val="24"/>
              </w:rPr>
              <w:t xml:space="preserve">100</w:t>
            </w:r>
          </w:p>
        </w:tc>
        <w:tc>
          <w:tcPr>
            <w:tcW w:w="1587" w:type="dxa"/>
            <w:vAlign w:val="bottom"/>
          </w:tcPr>
          <w:p>
            <w:pPr>
              <w:pStyle w:val="0"/>
              <w:jc w:val="center"/>
            </w:pPr>
            <w:r>
              <w:rPr>
                <w:sz w:val="24"/>
              </w:rPr>
              <w:t xml:space="preserve">200</w:t>
            </w:r>
          </w:p>
        </w:tc>
        <w:tc>
          <w:tcPr>
            <w:tcW w:w="1701" w:type="dxa"/>
            <w:vAlign w:val="bottom"/>
          </w:tcPr>
          <w:p>
            <w:pPr>
              <w:pStyle w:val="0"/>
              <w:jc w:val="center"/>
            </w:pPr>
            <w:r>
              <w:rPr>
                <w:sz w:val="24"/>
              </w:rPr>
              <w:t xml:space="preserve">100</w:t>
            </w:r>
          </w:p>
        </w:tc>
      </w:tr>
      <w:tr>
        <w:tc>
          <w:tcPr>
            <w:tcW w:w="2438" w:type="dxa"/>
          </w:tcPr>
          <w:p>
            <w:pPr>
              <w:pStyle w:val="0"/>
            </w:pPr>
            <w:r>
              <w:rPr>
                <w:sz w:val="24"/>
              </w:rPr>
              <w:t xml:space="preserve">Границы территорий смежных организаций (до ограждения)</w:t>
            </w:r>
          </w:p>
        </w:tc>
        <w:tc>
          <w:tcPr>
            <w:tcW w:w="1814" w:type="dxa"/>
            <w:vAlign w:val="bottom"/>
          </w:tcPr>
          <w:p>
            <w:pPr>
              <w:pStyle w:val="0"/>
              <w:jc w:val="center"/>
            </w:pPr>
            <w:r>
              <w:rPr>
                <w:sz w:val="24"/>
              </w:rPr>
              <w:t xml:space="preserve">300</w:t>
            </w:r>
          </w:p>
        </w:tc>
        <w:tc>
          <w:tcPr>
            <w:tcW w:w="1531" w:type="dxa"/>
            <w:vAlign w:val="bottom"/>
          </w:tcPr>
          <w:p>
            <w:pPr>
              <w:pStyle w:val="0"/>
              <w:jc w:val="center"/>
            </w:pPr>
            <w:r>
              <w:rPr>
                <w:sz w:val="24"/>
              </w:rPr>
              <w:t xml:space="preserve">200</w:t>
            </w:r>
          </w:p>
        </w:tc>
        <w:tc>
          <w:tcPr>
            <w:tcW w:w="1587" w:type="dxa"/>
            <w:vAlign w:val="bottom"/>
          </w:tcPr>
          <w:p>
            <w:pPr>
              <w:pStyle w:val="0"/>
              <w:jc w:val="center"/>
            </w:pPr>
            <w:r>
              <w:rPr>
                <w:sz w:val="24"/>
              </w:rPr>
              <w:t xml:space="preserve">300</w:t>
            </w:r>
          </w:p>
        </w:tc>
        <w:tc>
          <w:tcPr>
            <w:tcW w:w="1701" w:type="dxa"/>
            <w:vAlign w:val="bottom"/>
          </w:tcPr>
          <w:p>
            <w:pPr>
              <w:pStyle w:val="0"/>
              <w:jc w:val="center"/>
            </w:pPr>
            <w:r>
              <w:rPr>
                <w:sz w:val="24"/>
              </w:rPr>
              <w:t xml:space="preserve">200</w:t>
            </w:r>
          </w:p>
        </w:tc>
      </w:tr>
      <w:tr>
        <w:tc>
          <w:tcPr>
            <w:tcW w:w="2438" w:type="dxa"/>
          </w:tcPr>
          <w:p>
            <w:pPr>
              <w:pStyle w:val="0"/>
            </w:pPr>
            <w:r>
              <w:rPr>
                <w:sz w:val="24"/>
              </w:rPr>
              <w:t xml:space="preserve">Жилые и общественные здания</w:t>
            </w:r>
          </w:p>
        </w:tc>
        <w:tc>
          <w:tcPr>
            <w:tcW w:w="1814" w:type="dxa"/>
          </w:tcPr>
          <w:p>
            <w:pPr>
              <w:pStyle w:val="0"/>
              <w:jc w:val="center"/>
            </w:pPr>
            <w:r>
              <w:rPr>
                <w:sz w:val="24"/>
              </w:rPr>
              <w:t xml:space="preserve">вне пределов санитарно-защитной зоны, но не менее 500</w:t>
            </w:r>
          </w:p>
        </w:tc>
        <w:tc>
          <w:tcPr>
            <w:tcW w:w="1531" w:type="dxa"/>
          </w:tcPr>
          <w:p>
            <w:pPr>
              <w:pStyle w:val="0"/>
              <w:jc w:val="center"/>
            </w:pPr>
            <w:r>
              <w:rPr>
                <w:sz w:val="24"/>
              </w:rPr>
              <w:t xml:space="preserve">вне пределов санитарно-защитной зоны, но не менее 300</w:t>
            </w:r>
          </w:p>
        </w:tc>
        <w:tc>
          <w:tcPr>
            <w:tcW w:w="1587" w:type="dxa"/>
          </w:tcPr>
          <w:p>
            <w:pPr>
              <w:pStyle w:val="0"/>
              <w:jc w:val="center"/>
            </w:pPr>
            <w:r>
              <w:rPr>
                <w:sz w:val="24"/>
              </w:rPr>
              <w:t xml:space="preserve">вне пределов санитарно-защитной зоны, но не менее 500</w:t>
            </w:r>
          </w:p>
        </w:tc>
        <w:tc>
          <w:tcPr>
            <w:tcW w:w="1701" w:type="dxa"/>
          </w:tcPr>
          <w:p>
            <w:pPr>
              <w:pStyle w:val="0"/>
              <w:jc w:val="center"/>
            </w:pPr>
            <w:r>
              <w:rPr>
                <w:sz w:val="24"/>
              </w:rPr>
              <w:t xml:space="preserve">вне пределов санитарно-защитной зоны, но не менее 300</w:t>
            </w:r>
          </w:p>
        </w:tc>
      </w:tr>
      <w:tr>
        <w:tc>
          <w:tcPr>
            <w:tcW w:w="2438" w:type="dxa"/>
          </w:tcPr>
          <w:p>
            <w:pPr>
              <w:pStyle w:val="0"/>
            </w:pPr>
            <w:r>
              <w:rPr>
                <w:sz w:val="24"/>
              </w:rPr>
              <w:t xml:space="preserve">ТЭЦ</w:t>
            </w:r>
          </w:p>
        </w:tc>
        <w:tc>
          <w:tcPr>
            <w:tcW w:w="1814" w:type="dxa"/>
          </w:tcPr>
          <w:p>
            <w:pPr>
              <w:pStyle w:val="0"/>
              <w:jc w:val="center"/>
            </w:pPr>
            <w:r>
              <w:rPr>
                <w:sz w:val="24"/>
              </w:rPr>
              <w:t xml:space="preserve">300</w:t>
            </w:r>
          </w:p>
        </w:tc>
        <w:tc>
          <w:tcPr>
            <w:tcW w:w="1531" w:type="dxa"/>
          </w:tcPr>
          <w:p>
            <w:pPr>
              <w:pStyle w:val="0"/>
              <w:jc w:val="center"/>
            </w:pPr>
            <w:r>
              <w:rPr>
                <w:sz w:val="24"/>
              </w:rPr>
              <w:t xml:space="preserve">200</w:t>
            </w:r>
          </w:p>
        </w:tc>
        <w:tc>
          <w:tcPr>
            <w:tcW w:w="1587" w:type="dxa"/>
          </w:tcPr>
          <w:p>
            <w:pPr>
              <w:pStyle w:val="0"/>
              <w:jc w:val="center"/>
            </w:pPr>
            <w:r>
              <w:rPr>
                <w:sz w:val="24"/>
              </w:rPr>
              <w:t xml:space="preserve">300</w:t>
            </w:r>
          </w:p>
        </w:tc>
        <w:tc>
          <w:tcPr>
            <w:tcW w:w="1701" w:type="dxa"/>
          </w:tcPr>
          <w:p>
            <w:pPr>
              <w:pStyle w:val="0"/>
              <w:jc w:val="center"/>
            </w:pPr>
            <w:r>
              <w:rPr>
                <w:sz w:val="24"/>
              </w:rPr>
              <w:t xml:space="preserve">200</w:t>
            </w:r>
          </w:p>
        </w:tc>
      </w:tr>
      <w:tr>
        <w:tblPrEx>
          <w:tblBorders>
            <w:insideH w:val="nil"/>
          </w:tblBorders>
        </w:tblPrEx>
        <w:tc>
          <w:tcPr>
            <w:tcW w:w="2438" w:type="dxa"/>
            <w:tcBorders>
              <w:bottom w:val="nil"/>
            </w:tcBorders>
          </w:tcPr>
          <w:p>
            <w:pPr>
              <w:pStyle w:val="0"/>
            </w:pPr>
            <w:r>
              <w:rPr>
                <w:sz w:val="24"/>
              </w:rPr>
              <w:t xml:space="preserve">Лесничества с лесными насаждениями хвойных пород (от ограждения товарно-сырьевой базы или склада)</w:t>
            </w:r>
          </w:p>
        </w:tc>
        <w:tc>
          <w:tcPr>
            <w:tcW w:w="1814" w:type="dxa"/>
            <w:vAlign w:val="bottom"/>
            <w:tcBorders>
              <w:bottom w:val="nil"/>
            </w:tcBorders>
          </w:tcPr>
          <w:p>
            <w:pPr>
              <w:pStyle w:val="0"/>
              <w:jc w:val="center"/>
            </w:pPr>
            <w:r>
              <w:rPr>
                <w:sz w:val="24"/>
              </w:rPr>
              <w:t xml:space="preserve">100</w:t>
            </w:r>
          </w:p>
        </w:tc>
        <w:tc>
          <w:tcPr>
            <w:tcW w:w="1531" w:type="dxa"/>
            <w:vAlign w:val="bottom"/>
            <w:tcBorders>
              <w:bottom w:val="nil"/>
            </w:tcBorders>
          </w:tcPr>
          <w:p>
            <w:pPr>
              <w:pStyle w:val="0"/>
              <w:jc w:val="center"/>
            </w:pPr>
            <w:r>
              <w:rPr>
                <w:sz w:val="24"/>
              </w:rPr>
              <w:t xml:space="preserve">75</w:t>
            </w:r>
          </w:p>
        </w:tc>
        <w:tc>
          <w:tcPr>
            <w:tcW w:w="1587" w:type="dxa"/>
            <w:vAlign w:val="bottom"/>
            <w:tcBorders>
              <w:bottom w:val="nil"/>
            </w:tcBorders>
          </w:tcPr>
          <w:p>
            <w:pPr>
              <w:pStyle w:val="0"/>
              <w:jc w:val="center"/>
            </w:pPr>
            <w:r>
              <w:rPr>
                <w:sz w:val="24"/>
              </w:rPr>
              <w:t xml:space="preserve">100</w:t>
            </w:r>
          </w:p>
        </w:tc>
        <w:tc>
          <w:tcPr>
            <w:tcW w:w="1701" w:type="dxa"/>
            <w:vAlign w:val="bottom"/>
            <w:tcBorders>
              <w:bottom w:val="nil"/>
            </w:tcBorders>
          </w:tcPr>
          <w:p>
            <w:pPr>
              <w:pStyle w:val="0"/>
              <w:jc w:val="center"/>
            </w:pPr>
            <w:r>
              <w:rPr>
                <w:sz w:val="24"/>
              </w:rPr>
              <w:t xml:space="preserve">75</w:t>
            </w:r>
          </w:p>
        </w:tc>
      </w:tr>
      <w:tr>
        <w:tblPrEx>
          <w:tblBorders>
            <w:insideH w:val="nil"/>
          </w:tblBorders>
        </w:tblPrEx>
        <w:tc>
          <w:tcPr>
            <w:gridSpan w:val="5"/>
            <w:tcW w:w="9071" w:type="dxa"/>
            <w:tcBorders>
              <w:top w:val="nil"/>
            </w:tcBorders>
          </w:tcPr>
          <w:p>
            <w:pPr>
              <w:pStyle w:val="0"/>
              <w:jc w:val="both"/>
            </w:pPr>
            <w:r>
              <w:rPr>
                <w:sz w:val="24"/>
              </w:rPr>
              <w:t xml:space="preserve">(в ред. Федеральных законов от 10.07.2012 </w:t>
            </w:r>
            <w:r>
              <w:rPr>
                <w:sz w:val="24"/>
              </w:rPr>
              <w:t xml:space="preserve">N 117-ФЗ</w:t>
            </w:r>
            <w:r>
              <w:rPr>
                <w:sz w:val="24"/>
              </w:rPr>
              <w:t xml:space="preserve">, от 27.12.2018 </w:t>
            </w:r>
            <w:r>
              <w:rPr>
                <w:sz w:val="24"/>
              </w:rPr>
              <w:t xml:space="preserve">N 538-ФЗ</w:t>
            </w:r>
            <w:r>
              <w:rPr>
                <w:sz w:val="24"/>
              </w:rPr>
              <w:t xml:space="preserve">)</w:t>
            </w:r>
          </w:p>
        </w:tc>
      </w:tr>
      <w:tr>
        <w:tblPrEx>
          <w:tblBorders>
            <w:insideH w:val="nil"/>
          </w:tblBorders>
        </w:tblPrEx>
        <w:tc>
          <w:tcPr>
            <w:tcW w:w="2438" w:type="dxa"/>
            <w:tcBorders>
              <w:bottom w:val="nil"/>
            </w:tcBorders>
          </w:tcPr>
          <w:p>
            <w:pPr>
              <w:pStyle w:val="0"/>
            </w:pPr>
            <w:r>
              <w:rPr>
                <w:sz w:val="24"/>
              </w:rPr>
              <w:t xml:space="preserve">Лесничества (с лесными насаждениями лиственных пород (от ограждения товарно-сырьевой базы или склада)</w:t>
            </w:r>
          </w:p>
        </w:tc>
        <w:tc>
          <w:tcPr>
            <w:tcW w:w="1814" w:type="dxa"/>
            <w:vAlign w:val="bottom"/>
            <w:tcBorders>
              <w:bottom w:val="nil"/>
            </w:tcBorders>
          </w:tcPr>
          <w:p>
            <w:pPr>
              <w:pStyle w:val="0"/>
              <w:jc w:val="center"/>
            </w:pPr>
            <w:r>
              <w:rPr>
                <w:sz w:val="24"/>
              </w:rPr>
              <w:t xml:space="preserve">20</w:t>
            </w:r>
          </w:p>
        </w:tc>
        <w:tc>
          <w:tcPr>
            <w:tcW w:w="1531" w:type="dxa"/>
            <w:vAlign w:val="bottom"/>
            <w:tcBorders>
              <w:bottom w:val="nil"/>
            </w:tcBorders>
          </w:tcPr>
          <w:p>
            <w:pPr>
              <w:pStyle w:val="0"/>
              <w:jc w:val="center"/>
            </w:pPr>
            <w:r>
              <w:rPr>
                <w:sz w:val="24"/>
              </w:rPr>
              <w:t xml:space="preserve">20</w:t>
            </w:r>
          </w:p>
        </w:tc>
        <w:tc>
          <w:tcPr>
            <w:tcW w:w="1587" w:type="dxa"/>
            <w:vAlign w:val="bottom"/>
            <w:tcBorders>
              <w:bottom w:val="nil"/>
            </w:tcBorders>
          </w:tcPr>
          <w:p>
            <w:pPr>
              <w:pStyle w:val="0"/>
              <w:jc w:val="center"/>
            </w:pPr>
            <w:r>
              <w:rPr>
                <w:sz w:val="24"/>
              </w:rPr>
              <w:t xml:space="preserve">20</w:t>
            </w:r>
          </w:p>
        </w:tc>
        <w:tc>
          <w:tcPr>
            <w:tcW w:w="1701" w:type="dxa"/>
            <w:vAlign w:val="bottom"/>
            <w:tcBorders>
              <w:bottom w:val="nil"/>
            </w:tcBorders>
          </w:tcPr>
          <w:p>
            <w:pPr>
              <w:pStyle w:val="0"/>
              <w:jc w:val="center"/>
            </w:pPr>
            <w:r>
              <w:rPr>
                <w:sz w:val="24"/>
              </w:rPr>
              <w:t xml:space="preserve">20</w:t>
            </w:r>
          </w:p>
        </w:tc>
      </w:tr>
      <w:tr>
        <w:tblPrEx>
          <w:tblBorders>
            <w:insideH w:val="nil"/>
          </w:tblBorders>
        </w:tblPrEx>
        <w:tc>
          <w:tcPr>
            <w:gridSpan w:val="5"/>
            <w:tcW w:w="9071" w:type="dxa"/>
            <w:tcBorders>
              <w:top w:val="nil"/>
            </w:tcBorders>
          </w:tcPr>
          <w:p>
            <w:pPr>
              <w:pStyle w:val="0"/>
              <w:jc w:val="both"/>
            </w:pPr>
            <w:r>
              <w:rPr>
                <w:sz w:val="24"/>
              </w:rPr>
              <w:t xml:space="preserve">(в ред. Федеральных законов от 10.07.2012 </w:t>
            </w:r>
            <w:r>
              <w:rPr>
                <w:sz w:val="24"/>
              </w:rPr>
              <w:t xml:space="preserve">N 117-ФЗ</w:t>
            </w:r>
            <w:r>
              <w:rPr>
                <w:sz w:val="24"/>
              </w:rPr>
              <w:t xml:space="preserve">, от 27.12.2018 </w:t>
            </w:r>
            <w:r>
              <w:rPr>
                <w:sz w:val="24"/>
              </w:rPr>
              <w:t xml:space="preserve">N 538-ФЗ</w:t>
            </w:r>
            <w:r>
              <w:rPr>
                <w:sz w:val="24"/>
              </w:rPr>
              <w:t xml:space="preserve">)</w:t>
            </w:r>
          </w:p>
        </w:tc>
      </w:tr>
      <w:tr>
        <w:tc>
          <w:tcPr>
            <w:tcW w:w="2438" w:type="dxa"/>
          </w:tcPr>
          <w:p>
            <w:pPr>
              <w:pStyle w:val="0"/>
            </w:pPr>
            <w:r>
              <w:rPr>
                <w:sz w:val="24"/>
              </w:rPr>
              <w:t xml:space="preserve">Объекты речного и морского транспорта, гидротехнические сооружения, мосты при расположении складов ниже по течению от этих объектов</w:t>
            </w:r>
          </w:p>
        </w:tc>
        <w:tc>
          <w:tcPr>
            <w:tcW w:w="1814" w:type="dxa"/>
            <w:vAlign w:val="bottom"/>
          </w:tcPr>
          <w:p>
            <w:pPr>
              <w:pStyle w:val="0"/>
              <w:jc w:val="center"/>
            </w:pPr>
            <w:r>
              <w:rPr>
                <w:sz w:val="24"/>
              </w:rPr>
              <w:t xml:space="preserve">300</w:t>
            </w:r>
          </w:p>
        </w:tc>
        <w:tc>
          <w:tcPr>
            <w:tcW w:w="1531" w:type="dxa"/>
            <w:vAlign w:val="bottom"/>
          </w:tcPr>
          <w:p>
            <w:pPr>
              <w:pStyle w:val="0"/>
              <w:jc w:val="center"/>
            </w:pPr>
            <w:r>
              <w:rPr>
                <w:sz w:val="24"/>
              </w:rPr>
              <w:t xml:space="preserve">200</w:t>
            </w:r>
          </w:p>
        </w:tc>
        <w:tc>
          <w:tcPr>
            <w:tcW w:w="1587" w:type="dxa"/>
            <w:vAlign w:val="bottom"/>
          </w:tcPr>
          <w:p>
            <w:pPr>
              <w:pStyle w:val="0"/>
              <w:jc w:val="center"/>
            </w:pPr>
            <w:r>
              <w:rPr>
                <w:sz w:val="24"/>
              </w:rPr>
              <w:t xml:space="preserve">300</w:t>
            </w:r>
          </w:p>
        </w:tc>
        <w:tc>
          <w:tcPr>
            <w:tcW w:w="1701" w:type="dxa"/>
            <w:vAlign w:val="bottom"/>
          </w:tcPr>
          <w:p>
            <w:pPr>
              <w:pStyle w:val="0"/>
              <w:jc w:val="center"/>
            </w:pPr>
            <w:r>
              <w:rPr>
                <w:sz w:val="24"/>
              </w:rPr>
              <w:t xml:space="preserve">200</w:t>
            </w:r>
          </w:p>
        </w:tc>
      </w:tr>
      <w:tr>
        <w:tc>
          <w:tcPr>
            <w:tcW w:w="2438" w:type="dxa"/>
          </w:tcPr>
          <w:p>
            <w:pPr>
              <w:pStyle w:val="0"/>
            </w:pPr>
            <w:r>
              <w:rPr>
                <w:sz w:val="24"/>
              </w:rPr>
              <w:t xml:space="preserve">Объекты речного и морского транспорта, гидротехнические сооружения, мосты при расположении складов выше по течению от этих объектов</w:t>
            </w:r>
          </w:p>
        </w:tc>
        <w:tc>
          <w:tcPr>
            <w:tcW w:w="1814" w:type="dxa"/>
            <w:vAlign w:val="bottom"/>
          </w:tcPr>
          <w:p>
            <w:pPr>
              <w:pStyle w:val="0"/>
              <w:jc w:val="center"/>
            </w:pPr>
            <w:r>
              <w:rPr>
                <w:sz w:val="24"/>
              </w:rPr>
              <w:t xml:space="preserve">3000</w:t>
            </w:r>
          </w:p>
        </w:tc>
        <w:tc>
          <w:tcPr>
            <w:tcW w:w="1531" w:type="dxa"/>
            <w:vAlign w:val="bottom"/>
          </w:tcPr>
          <w:p>
            <w:pPr>
              <w:pStyle w:val="0"/>
              <w:jc w:val="center"/>
            </w:pPr>
            <w:r>
              <w:rPr>
                <w:sz w:val="24"/>
              </w:rPr>
              <w:t xml:space="preserve">2000</w:t>
            </w:r>
          </w:p>
        </w:tc>
        <w:tc>
          <w:tcPr>
            <w:tcW w:w="1587" w:type="dxa"/>
            <w:vAlign w:val="bottom"/>
          </w:tcPr>
          <w:p>
            <w:pPr>
              <w:pStyle w:val="0"/>
              <w:jc w:val="center"/>
            </w:pPr>
            <w:r>
              <w:rPr>
                <w:sz w:val="24"/>
              </w:rPr>
              <w:t xml:space="preserve">3000</w:t>
            </w:r>
          </w:p>
        </w:tc>
        <w:tc>
          <w:tcPr>
            <w:tcW w:w="1701" w:type="dxa"/>
            <w:vAlign w:val="bottom"/>
          </w:tcPr>
          <w:p>
            <w:pPr>
              <w:pStyle w:val="0"/>
              <w:jc w:val="center"/>
            </w:pPr>
            <w:r>
              <w:rPr>
                <w:sz w:val="24"/>
              </w:rPr>
              <w:t xml:space="preserve">2000</w:t>
            </w:r>
          </w:p>
        </w:tc>
      </w:tr>
    </w:tbl>
    <w:p>
      <w:pPr>
        <w:pStyle w:val="0"/>
        <w:ind w:firstLine="540"/>
        <w:jc w:val="both"/>
      </w:pPr>
      <w:r>
        <w:rPr>
          <w:sz w:val="24"/>
        </w:rPr>
      </w:r>
    </w:p>
    <w:bookmarkStart w:id="2704" w:name="P2704"/>
    <w:bookmarkEnd w:id="2704"/>
    <w:p>
      <w:pPr>
        <w:pStyle w:val="0"/>
        <w:outlineLvl w:val="1"/>
        <w:jc w:val="center"/>
      </w:pPr>
      <w:r>
        <w:rPr>
          <w:sz w:val="24"/>
        </w:rPr>
        <w:t xml:space="preserve">Таблица 19</w:t>
      </w:r>
    </w:p>
    <w:p>
      <w:pPr>
        <w:pStyle w:val="0"/>
        <w:jc w:val="right"/>
      </w:pPr>
      <w:r>
        <w:rPr>
          <w:sz w:val="24"/>
        </w:rPr>
      </w:r>
    </w:p>
    <w:bookmarkStart w:id="2706" w:name="P2706"/>
    <w:bookmarkEnd w:id="2706"/>
    <w:p>
      <w:pPr>
        <w:pStyle w:val="2"/>
        <w:jc w:val="center"/>
      </w:pPr>
      <w:r>
        <w:rPr>
          <w:sz w:val="24"/>
        </w:rPr>
        <w:t xml:space="preserve">Противопожарные расстояния от резервуарных установок</w:t>
      </w:r>
    </w:p>
    <w:p>
      <w:pPr>
        <w:pStyle w:val="2"/>
        <w:jc w:val="center"/>
      </w:pPr>
      <w:r>
        <w:rPr>
          <w:sz w:val="24"/>
        </w:rPr>
        <w:t xml:space="preserve">сжиженных углеводородных газов до объектов защиты</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52"/>
        <w:gridCol w:w="856"/>
        <w:gridCol w:w="856"/>
        <w:gridCol w:w="856"/>
        <w:gridCol w:w="856"/>
        <w:gridCol w:w="856"/>
        <w:gridCol w:w="856"/>
        <w:gridCol w:w="2536"/>
      </w:tblGrid>
      <w:tr>
        <w:tc>
          <w:tcPr>
            <w:tcW w:w="3052" w:type="dxa"/>
            <w:vMerge w:val="restart"/>
          </w:tcPr>
          <w:p>
            <w:pPr>
              <w:pStyle w:val="0"/>
              <w:jc w:val="center"/>
            </w:pPr>
            <w:r>
              <w:rPr>
                <w:sz w:val="24"/>
              </w:rPr>
              <w:t xml:space="preserve">Здания, сооружения и коммуникации</w:t>
            </w:r>
          </w:p>
        </w:tc>
        <w:tc>
          <w:tcPr>
            <w:gridSpan w:val="6"/>
            <w:tcW w:w="5136" w:type="dxa"/>
          </w:tcPr>
          <w:p>
            <w:pPr>
              <w:pStyle w:val="0"/>
              <w:jc w:val="center"/>
            </w:pPr>
            <w:r>
              <w:rPr>
                <w:sz w:val="24"/>
              </w:rPr>
              <w:t xml:space="preserve">Противопожарные расстояния от резервуаров, метры</w:t>
            </w:r>
          </w:p>
        </w:tc>
        <w:tc>
          <w:tcPr>
            <w:tcW w:w="2536" w:type="dxa"/>
            <w:vMerge w:val="restart"/>
          </w:tcPr>
          <w:p>
            <w:pPr>
              <w:pStyle w:val="0"/>
              <w:jc w:val="center"/>
            </w:pPr>
            <w:r>
              <w:rPr>
                <w:sz w:val="24"/>
              </w:rPr>
              <w:t xml:space="preserve">Противопожарные расстояния от испарительной или групповой баллонной установки, метры</w:t>
            </w:r>
          </w:p>
        </w:tc>
      </w:tr>
      <w:tr>
        <w:tc>
          <w:tcPr>
            <w:vMerge w:val="continue"/>
          </w:tcPr>
          <w:p/>
        </w:tc>
        <w:tc>
          <w:tcPr>
            <w:gridSpan w:val="3"/>
            <w:tcW w:w="2568" w:type="dxa"/>
          </w:tcPr>
          <w:p>
            <w:pPr>
              <w:pStyle w:val="0"/>
              <w:jc w:val="center"/>
            </w:pPr>
            <w:r>
              <w:rPr>
                <w:sz w:val="24"/>
              </w:rPr>
              <w:t xml:space="preserve">надземных</w:t>
            </w:r>
          </w:p>
        </w:tc>
        <w:tc>
          <w:tcPr>
            <w:gridSpan w:val="3"/>
            <w:tcW w:w="2568" w:type="dxa"/>
          </w:tcPr>
          <w:p>
            <w:pPr>
              <w:pStyle w:val="0"/>
              <w:jc w:val="center"/>
            </w:pPr>
            <w:r>
              <w:rPr>
                <w:sz w:val="24"/>
              </w:rPr>
              <w:t xml:space="preserve">подземных</w:t>
            </w:r>
          </w:p>
        </w:tc>
        <w:tc>
          <w:tcPr>
            <w:vMerge w:val="continue"/>
          </w:tcPr>
          <w:p/>
        </w:tc>
      </w:tr>
      <w:tr>
        <w:tc>
          <w:tcPr>
            <w:vMerge w:val="continue"/>
          </w:tcPr>
          <w:p/>
        </w:tc>
        <w:tc>
          <w:tcPr>
            <w:gridSpan w:val="6"/>
            <w:tcW w:w="5136" w:type="dxa"/>
          </w:tcPr>
          <w:p>
            <w:pPr>
              <w:pStyle w:val="0"/>
              <w:jc w:val="center"/>
            </w:pPr>
            <w:r>
              <w:rPr>
                <w:sz w:val="24"/>
              </w:rPr>
              <w:t xml:space="preserve">при общей вместимости резервуаров в установке, кубические метры</w:t>
            </w:r>
          </w:p>
        </w:tc>
        <w:tc>
          <w:tcPr>
            <w:vMerge w:val="continue"/>
          </w:tcPr>
          <w:p/>
        </w:tc>
      </w:tr>
      <w:tr>
        <w:tc>
          <w:tcPr>
            <w:vMerge w:val="continue"/>
          </w:tcPr>
          <w:p/>
        </w:tc>
        <w:tc>
          <w:tcPr>
            <w:tcW w:w="856" w:type="dxa"/>
          </w:tcPr>
          <w:p>
            <w:pPr>
              <w:pStyle w:val="0"/>
              <w:jc w:val="center"/>
            </w:pPr>
            <w:r>
              <w:rPr>
                <w:sz w:val="24"/>
              </w:rPr>
              <w:t xml:space="preserve">не более 5</w:t>
            </w:r>
          </w:p>
        </w:tc>
        <w:tc>
          <w:tcPr>
            <w:tcW w:w="856" w:type="dxa"/>
          </w:tcPr>
          <w:p>
            <w:pPr>
              <w:pStyle w:val="0"/>
              <w:jc w:val="center"/>
            </w:pPr>
            <w:r>
              <w:rPr>
                <w:sz w:val="24"/>
              </w:rPr>
              <w:t xml:space="preserve">более 5, но не более 10</w:t>
            </w:r>
          </w:p>
        </w:tc>
        <w:tc>
          <w:tcPr>
            <w:tcW w:w="856" w:type="dxa"/>
          </w:tcPr>
          <w:p>
            <w:pPr>
              <w:pStyle w:val="0"/>
              <w:jc w:val="center"/>
            </w:pPr>
            <w:r>
              <w:rPr>
                <w:sz w:val="24"/>
              </w:rPr>
              <w:t xml:space="preserve">более 10, но не более 20</w:t>
            </w:r>
          </w:p>
        </w:tc>
        <w:tc>
          <w:tcPr>
            <w:tcW w:w="856" w:type="dxa"/>
          </w:tcPr>
          <w:p>
            <w:pPr>
              <w:pStyle w:val="0"/>
              <w:jc w:val="center"/>
            </w:pPr>
            <w:r>
              <w:rPr>
                <w:sz w:val="24"/>
              </w:rPr>
              <w:t xml:space="preserve">не более 10</w:t>
            </w:r>
          </w:p>
        </w:tc>
        <w:tc>
          <w:tcPr>
            <w:tcW w:w="856" w:type="dxa"/>
          </w:tcPr>
          <w:p>
            <w:pPr>
              <w:pStyle w:val="0"/>
              <w:jc w:val="center"/>
            </w:pPr>
            <w:r>
              <w:rPr>
                <w:sz w:val="24"/>
              </w:rPr>
              <w:t xml:space="preserve">более 10, но не более 20</w:t>
            </w:r>
          </w:p>
        </w:tc>
        <w:tc>
          <w:tcPr>
            <w:tcW w:w="856" w:type="dxa"/>
          </w:tcPr>
          <w:p>
            <w:pPr>
              <w:pStyle w:val="0"/>
              <w:jc w:val="center"/>
            </w:pPr>
            <w:r>
              <w:rPr>
                <w:sz w:val="24"/>
              </w:rPr>
              <w:t xml:space="preserve">более 20, но не более 50</w:t>
            </w:r>
          </w:p>
        </w:tc>
        <w:tc>
          <w:tcPr>
            <w:vMerge w:val="continue"/>
          </w:tcPr>
          <w:p/>
        </w:tc>
      </w:tr>
      <w:tr>
        <w:tblPrEx>
          <w:tblBorders>
            <w:insideH w:val="nil"/>
          </w:tblBorders>
        </w:tblPrEx>
        <w:tc>
          <w:tcPr>
            <w:tcW w:w="3052" w:type="dxa"/>
            <w:tcBorders>
              <w:bottom w:val="nil"/>
            </w:tcBorders>
          </w:tcPr>
          <w:p>
            <w:pPr>
              <w:pStyle w:val="0"/>
            </w:pPr>
            <w:r>
              <w:rPr>
                <w:sz w:val="24"/>
              </w:rPr>
              <w:t xml:space="preserve">Общественные здания и сооружения</w:t>
            </w:r>
          </w:p>
        </w:tc>
        <w:tc>
          <w:tcPr>
            <w:tcW w:w="856" w:type="dxa"/>
            <w:vAlign w:val="bottom"/>
            <w:tcBorders>
              <w:bottom w:val="nil"/>
            </w:tcBorders>
          </w:tcPr>
          <w:p>
            <w:pPr>
              <w:pStyle w:val="0"/>
              <w:jc w:val="center"/>
            </w:pPr>
            <w:r>
              <w:rPr>
                <w:sz w:val="24"/>
              </w:rPr>
              <w:t xml:space="preserve">40</w:t>
            </w:r>
          </w:p>
        </w:tc>
        <w:tc>
          <w:tcPr>
            <w:tcW w:w="856" w:type="dxa"/>
            <w:vAlign w:val="bottom"/>
            <w:tcBorders>
              <w:bottom w:val="nil"/>
            </w:tcBorders>
          </w:tcPr>
          <w:p>
            <w:pPr>
              <w:pStyle w:val="0"/>
              <w:jc w:val="center"/>
            </w:pPr>
            <w:r>
              <w:rPr>
                <w:sz w:val="24"/>
              </w:rPr>
              <w:t xml:space="preserve">50+</w:t>
            </w:r>
          </w:p>
        </w:tc>
        <w:tc>
          <w:tcPr>
            <w:tcW w:w="856" w:type="dxa"/>
            <w:vAlign w:val="bottom"/>
            <w:tcBorders>
              <w:bottom w:val="nil"/>
            </w:tcBorders>
          </w:tcPr>
          <w:p>
            <w:pPr>
              <w:pStyle w:val="0"/>
              <w:jc w:val="center"/>
            </w:pPr>
            <w:r>
              <w:rPr>
                <w:sz w:val="24"/>
              </w:rPr>
              <w:t xml:space="preserve">60+</w:t>
            </w:r>
          </w:p>
        </w:tc>
        <w:tc>
          <w:tcPr>
            <w:tcW w:w="856" w:type="dxa"/>
            <w:vAlign w:val="bottom"/>
            <w:tcBorders>
              <w:bottom w:val="nil"/>
            </w:tcBorders>
          </w:tcPr>
          <w:p>
            <w:pPr>
              <w:pStyle w:val="0"/>
              <w:jc w:val="center"/>
            </w:pPr>
            <w:r>
              <w:rPr>
                <w:sz w:val="24"/>
              </w:rPr>
              <w:t xml:space="preserve">15</w:t>
            </w:r>
          </w:p>
        </w:tc>
        <w:tc>
          <w:tcPr>
            <w:tcW w:w="856" w:type="dxa"/>
            <w:vAlign w:val="bottom"/>
            <w:tcBorders>
              <w:bottom w:val="nil"/>
            </w:tcBorders>
          </w:tcPr>
          <w:p>
            <w:pPr>
              <w:pStyle w:val="0"/>
              <w:jc w:val="center"/>
            </w:pPr>
            <w:r>
              <w:rPr>
                <w:sz w:val="24"/>
              </w:rPr>
              <w:t xml:space="preserve">20</w:t>
            </w:r>
          </w:p>
        </w:tc>
        <w:tc>
          <w:tcPr>
            <w:tcW w:w="856" w:type="dxa"/>
            <w:vAlign w:val="bottom"/>
            <w:tcBorders>
              <w:bottom w:val="nil"/>
            </w:tcBorders>
          </w:tcPr>
          <w:p>
            <w:pPr>
              <w:pStyle w:val="0"/>
              <w:jc w:val="center"/>
            </w:pPr>
            <w:r>
              <w:rPr>
                <w:sz w:val="24"/>
              </w:rPr>
              <w:t xml:space="preserve">30</w:t>
            </w:r>
          </w:p>
        </w:tc>
        <w:tc>
          <w:tcPr>
            <w:tcW w:w="2536" w:type="dxa"/>
            <w:vAlign w:val="bottom"/>
            <w:tcBorders>
              <w:bottom w:val="nil"/>
            </w:tcBorders>
          </w:tcPr>
          <w:p>
            <w:pPr>
              <w:pStyle w:val="0"/>
              <w:jc w:val="center"/>
            </w:pPr>
            <w:r>
              <w:rPr>
                <w:sz w:val="24"/>
              </w:rPr>
              <w:t xml:space="preserve">25</w:t>
            </w:r>
          </w:p>
        </w:tc>
      </w:tr>
      <w:tr>
        <w:tblPrEx>
          <w:tblBorders>
            <w:insideH w:val="nil"/>
          </w:tblBorders>
        </w:tblPrEx>
        <w:tc>
          <w:tcPr>
            <w:gridSpan w:val="8"/>
            <w:tcW w:w="10724" w:type="dxa"/>
            <w:tcBorders>
              <w:top w:val="nil"/>
            </w:tcBorders>
          </w:tcPr>
          <w:p>
            <w:pPr>
              <w:pStyle w:val="0"/>
              <w:jc w:val="both"/>
            </w:pPr>
            <w:r>
              <w:rPr>
                <w:sz w:val="24"/>
              </w:rPr>
              <w:t xml:space="preserve">(в ред. Федерального </w:t>
            </w:r>
            <w:r>
              <w:rPr>
                <w:sz w:val="24"/>
              </w:rPr>
              <w:t xml:space="preserve">закона</w:t>
            </w:r>
            <w:r>
              <w:rPr>
                <w:sz w:val="24"/>
              </w:rPr>
              <w:t xml:space="preserve"> от 10.07.2012 N 117-ФЗ)</w:t>
            </w:r>
          </w:p>
        </w:tc>
      </w:tr>
      <w:tr>
        <w:tc>
          <w:tcPr>
            <w:tcW w:w="3052" w:type="dxa"/>
          </w:tcPr>
          <w:p>
            <w:pPr>
              <w:pStyle w:val="0"/>
            </w:pPr>
            <w:r>
              <w:rPr>
                <w:sz w:val="24"/>
              </w:rPr>
              <w:t xml:space="preserve">Жилые здания</w:t>
            </w:r>
          </w:p>
        </w:tc>
        <w:tc>
          <w:tcPr>
            <w:tcW w:w="856" w:type="dxa"/>
          </w:tcPr>
          <w:p>
            <w:pPr>
              <w:pStyle w:val="0"/>
              <w:jc w:val="center"/>
            </w:pPr>
            <w:r>
              <w:rPr>
                <w:sz w:val="24"/>
              </w:rPr>
              <w:t xml:space="preserve">20</w:t>
            </w:r>
          </w:p>
        </w:tc>
        <w:tc>
          <w:tcPr>
            <w:tcW w:w="856" w:type="dxa"/>
          </w:tcPr>
          <w:p>
            <w:pPr>
              <w:pStyle w:val="0"/>
              <w:jc w:val="center"/>
            </w:pPr>
            <w:r>
              <w:rPr>
                <w:sz w:val="24"/>
              </w:rPr>
              <w:t xml:space="preserve">30+</w:t>
            </w:r>
          </w:p>
        </w:tc>
        <w:tc>
          <w:tcPr>
            <w:tcW w:w="856" w:type="dxa"/>
          </w:tcPr>
          <w:p>
            <w:pPr>
              <w:pStyle w:val="0"/>
              <w:jc w:val="center"/>
            </w:pPr>
            <w:r>
              <w:rPr>
                <w:sz w:val="24"/>
              </w:rPr>
              <w:t xml:space="preserve">40+</w:t>
            </w:r>
          </w:p>
        </w:tc>
        <w:tc>
          <w:tcPr>
            <w:tcW w:w="856" w:type="dxa"/>
          </w:tcPr>
          <w:p>
            <w:pPr>
              <w:pStyle w:val="0"/>
              <w:jc w:val="center"/>
            </w:pPr>
            <w:r>
              <w:rPr>
                <w:sz w:val="24"/>
              </w:rPr>
              <w:t xml:space="preserve">10</w:t>
            </w:r>
          </w:p>
        </w:tc>
        <w:tc>
          <w:tcPr>
            <w:tcW w:w="856" w:type="dxa"/>
          </w:tcPr>
          <w:p>
            <w:pPr>
              <w:pStyle w:val="0"/>
              <w:jc w:val="center"/>
            </w:pPr>
            <w:r>
              <w:rPr>
                <w:sz w:val="24"/>
              </w:rPr>
              <w:t xml:space="preserve">15</w:t>
            </w:r>
          </w:p>
        </w:tc>
        <w:tc>
          <w:tcPr>
            <w:tcW w:w="856" w:type="dxa"/>
          </w:tcPr>
          <w:p>
            <w:pPr>
              <w:pStyle w:val="0"/>
              <w:jc w:val="center"/>
            </w:pPr>
            <w:r>
              <w:rPr>
                <w:sz w:val="24"/>
              </w:rPr>
              <w:t xml:space="preserve">20</w:t>
            </w:r>
          </w:p>
        </w:tc>
        <w:tc>
          <w:tcPr>
            <w:tcW w:w="2536" w:type="dxa"/>
          </w:tcPr>
          <w:p>
            <w:pPr>
              <w:pStyle w:val="0"/>
              <w:jc w:val="center"/>
            </w:pPr>
            <w:r>
              <w:rPr>
                <w:sz w:val="24"/>
              </w:rPr>
              <w:t xml:space="preserve">12</w:t>
            </w:r>
          </w:p>
        </w:tc>
      </w:tr>
      <w:tr>
        <w:tc>
          <w:tcPr>
            <w:tcW w:w="3052" w:type="dxa"/>
          </w:tcPr>
          <w:p>
            <w:pPr>
              <w:pStyle w:val="0"/>
              <w:jc w:val="both"/>
            </w:pPr>
            <w:r>
              <w:rPr>
                <w:sz w:val="24"/>
              </w:rPr>
              <w:t xml:space="preserve">Детские и спортивные площадки, гаражи (от ограды резервуарной установки)</w:t>
            </w:r>
          </w:p>
        </w:tc>
        <w:tc>
          <w:tcPr>
            <w:tcW w:w="856" w:type="dxa"/>
            <w:vAlign w:val="bottom"/>
          </w:tcPr>
          <w:p>
            <w:pPr>
              <w:pStyle w:val="0"/>
              <w:jc w:val="center"/>
            </w:pPr>
            <w:r>
              <w:rPr>
                <w:sz w:val="24"/>
              </w:rPr>
              <w:t xml:space="preserve">20</w:t>
            </w:r>
          </w:p>
        </w:tc>
        <w:tc>
          <w:tcPr>
            <w:tcW w:w="856" w:type="dxa"/>
            <w:vAlign w:val="bottom"/>
          </w:tcPr>
          <w:p>
            <w:pPr>
              <w:pStyle w:val="0"/>
              <w:jc w:val="center"/>
            </w:pPr>
            <w:r>
              <w:rPr>
                <w:sz w:val="24"/>
              </w:rPr>
              <w:t xml:space="preserve">25</w:t>
            </w:r>
          </w:p>
        </w:tc>
        <w:tc>
          <w:tcPr>
            <w:tcW w:w="856" w:type="dxa"/>
            <w:vAlign w:val="bottom"/>
          </w:tcPr>
          <w:p>
            <w:pPr>
              <w:pStyle w:val="0"/>
              <w:jc w:val="center"/>
            </w:pPr>
            <w:r>
              <w:rPr>
                <w:sz w:val="24"/>
              </w:rPr>
              <w:t xml:space="preserve">30</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10</w:t>
            </w:r>
          </w:p>
        </w:tc>
        <w:tc>
          <w:tcPr>
            <w:tcW w:w="2536" w:type="dxa"/>
            <w:vAlign w:val="bottom"/>
          </w:tcPr>
          <w:p>
            <w:pPr>
              <w:pStyle w:val="0"/>
              <w:jc w:val="center"/>
            </w:pPr>
            <w:r>
              <w:rPr>
                <w:sz w:val="24"/>
              </w:rPr>
              <w:t xml:space="preserve">10</w:t>
            </w:r>
          </w:p>
        </w:tc>
      </w:tr>
      <w:tr>
        <w:tc>
          <w:tcPr>
            <w:tcW w:w="3052" w:type="dxa"/>
          </w:tcPr>
          <w:p>
            <w:pPr>
              <w:pStyle w:val="0"/>
            </w:pPr>
            <w:r>
              <w:rPr>
                <w:sz w:val="24"/>
              </w:rPr>
              <w:t xml:space="preserve">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856" w:type="dxa"/>
            <w:vAlign w:val="bottom"/>
          </w:tcPr>
          <w:p>
            <w:pPr>
              <w:pStyle w:val="0"/>
              <w:jc w:val="center"/>
            </w:pPr>
            <w:r>
              <w:rPr>
                <w:sz w:val="24"/>
              </w:rPr>
              <w:t xml:space="preserve">15</w:t>
            </w:r>
          </w:p>
        </w:tc>
        <w:tc>
          <w:tcPr>
            <w:tcW w:w="856" w:type="dxa"/>
            <w:vAlign w:val="bottom"/>
          </w:tcPr>
          <w:p>
            <w:pPr>
              <w:pStyle w:val="0"/>
              <w:jc w:val="center"/>
            </w:pPr>
            <w:r>
              <w:rPr>
                <w:sz w:val="24"/>
              </w:rPr>
              <w:t xml:space="preserve">20</w:t>
            </w:r>
          </w:p>
        </w:tc>
        <w:tc>
          <w:tcPr>
            <w:tcW w:w="856" w:type="dxa"/>
            <w:vAlign w:val="bottom"/>
          </w:tcPr>
          <w:p>
            <w:pPr>
              <w:pStyle w:val="0"/>
              <w:jc w:val="center"/>
            </w:pPr>
            <w:r>
              <w:rPr>
                <w:sz w:val="24"/>
              </w:rPr>
              <w:t xml:space="preserve">25</w:t>
            </w:r>
          </w:p>
        </w:tc>
        <w:tc>
          <w:tcPr>
            <w:tcW w:w="856" w:type="dxa"/>
            <w:vAlign w:val="bottom"/>
          </w:tcPr>
          <w:p>
            <w:pPr>
              <w:pStyle w:val="0"/>
              <w:jc w:val="center"/>
            </w:pPr>
            <w:r>
              <w:rPr>
                <w:sz w:val="24"/>
              </w:rPr>
              <w:t xml:space="preserve">8</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15</w:t>
            </w:r>
          </w:p>
        </w:tc>
        <w:tc>
          <w:tcPr>
            <w:tcW w:w="2536" w:type="dxa"/>
            <w:vAlign w:val="bottom"/>
          </w:tcPr>
          <w:p>
            <w:pPr>
              <w:pStyle w:val="0"/>
              <w:jc w:val="center"/>
            </w:pPr>
            <w:r>
              <w:rPr>
                <w:sz w:val="24"/>
              </w:rPr>
              <w:t xml:space="preserve">12</w:t>
            </w:r>
          </w:p>
        </w:tc>
      </w:tr>
      <w:tr>
        <w:tc>
          <w:tcPr>
            <w:tcW w:w="3052" w:type="dxa"/>
          </w:tcPr>
          <w:p>
            <w:pPr>
              <w:pStyle w:val="0"/>
            </w:pPr>
            <w:r>
              <w:rPr>
                <w:sz w:val="24"/>
              </w:rPr>
              <w:t xml:space="preserve">Канализация, теплотрасса (подземные)</w:t>
            </w:r>
          </w:p>
        </w:tc>
        <w:tc>
          <w:tcPr>
            <w:tcW w:w="856" w:type="dxa"/>
            <w:vAlign w:val="bottom"/>
          </w:tcPr>
          <w:p>
            <w:pPr>
              <w:pStyle w:val="0"/>
              <w:jc w:val="center"/>
            </w:pPr>
            <w:r>
              <w:rPr>
                <w:sz w:val="24"/>
              </w:rPr>
              <w:t xml:space="preserve">3,5</w:t>
            </w:r>
          </w:p>
        </w:tc>
        <w:tc>
          <w:tcPr>
            <w:tcW w:w="856" w:type="dxa"/>
            <w:vAlign w:val="bottom"/>
          </w:tcPr>
          <w:p>
            <w:pPr>
              <w:pStyle w:val="0"/>
              <w:jc w:val="center"/>
            </w:pPr>
            <w:r>
              <w:rPr>
                <w:sz w:val="24"/>
              </w:rPr>
              <w:t xml:space="preserve">3,5</w:t>
            </w:r>
          </w:p>
        </w:tc>
        <w:tc>
          <w:tcPr>
            <w:tcW w:w="856" w:type="dxa"/>
            <w:vAlign w:val="bottom"/>
          </w:tcPr>
          <w:p>
            <w:pPr>
              <w:pStyle w:val="0"/>
              <w:jc w:val="center"/>
            </w:pPr>
            <w:r>
              <w:rPr>
                <w:sz w:val="24"/>
              </w:rPr>
              <w:t xml:space="preserve">3,5</w:t>
            </w:r>
          </w:p>
        </w:tc>
        <w:tc>
          <w:tcPr>
            <w:tcW w:w="856" w:type="dxa"/>
            <w:vAlign w:val="bottom"/>
          </w:tcPr>
          <w:p>
            <w:pPr>
              <w:pStyle w:val="0"/>
              <w:jc w:val="center"/>
            </w:pPr>
            <w:r>
              <w:rPr>
                <w:sz w:val="24"/>
              </w:rPr>
              <w:t xml:space="preserve">3,5</w:t>
            </w:r>
          </w:p>
        </w:tc>
        <w:tc>
          <w:tcPr>
            <w:tcW w:w="856" w:type="dxa"/>
            <w:vAlign w:val="bottom"/>
          </w:tcPr>
          <w:p>
            <w:pPr>
              <w:pStyle w:val="0"/>
              <w:jc w:val="center"/>
            </w:pPr>
            <w:r>
              <w:rPr>
                <w:sz w:val="24"/>
              </w:rPr>
              <w:t xml:space="preserve">3,5</w:t>
            </w:r>
          </w:p>
        </w:tc>
        <w:tc>
          <w:tcPr>
            <w:tcW w:w="856" w:type="dxa"/>
            <w:vAlign w:val="bottom"/>
          </w:tcPr>
          <w:p>
            <w:pPr>
              <w:pStyle w:val="0"/>
              <w:jc w:val="center"/>
            </w:pPr>
            <w:r>
              <w:rPr>
                <w:sz w:val="24"/>
              </w:rPr>
              <w:t xml:space="preserve">3,5</w:t>
            </w:r>
          </w:p>
        </w:tc>
        <w:tc>
          <w:tcPr>
            <w:tcW w:w="2536" w:type="dxa"/>
            <w:vAlign w:val="bottom"/>
          </w:tcPr>
          <w:p>
            <w:pPr>
              <w:pStyle w:val="0"/>
              <w:jc w:val="center"/>
            </w:pPr>
            <w:r>
              <w:rPr>
                <w:sz w:val="24"/>
              </w:rPr>
              <w:t xml:space="preserve">3,5</w:t>
            </w:r>
          </w:p>
        </w:tc>
      </w:tr>
      <w:tr>
        <w:tc>
          <w:tcPr>
            <w:tcW w:w="3052" w:type="dxa"/>
          </w:tcPr>
          <w:p>
            <w:pPr>
              <w:pStyle w:val="0"/>
            </w:pPr>
            <w:r>
              <w:rPr>
                <w:sz w:val="24"/>
              </w:rPr>
              <w:t xml:space="preserve">Надземные сооружения и коммуникации (эстакады, теплотрассы), не относящиеся к резервуарной установке</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2536" w:type="dxa"/>
            <w:vAlign w:val="bottom"/>
          </w:tcPr>
          <w:p>
            <w:pPr>
              <w:pStyle w:val="0"/>
              <w:jc w:val="center"/>
            </w:pPr>
            <w:r>
              <w:rPr>
                <w:sz w:val="24"/>
              </w:rPr>
              <w:t xml:space="preserve">5</w:t>
            </w:r>
          </w:p>
        </w:tc>
      </w:tr>
      <w:tr>
        <w:tc>
          <w:tcPr>
            <w:tcW w:w="3052" w:type="dxa"/>
          </w:tcPr>
          <w:p>
            <w:pPr>
              <w:pStyle w:val="0"/>
            </w:pPr>
            <w:r>
              <w:rPr>
                <w:sz w:val="24"/>
              </w:rPr>
              <w:t xml:space="preserve">Водопровод и другие бесканальные коммуникации</w:t>
            </w:r>
          </w:p>
        </w:tc>
        <w:tc>
          <w:tcPr>
            <w:tcW w:w="856" w:type="dxa"/>
            <w:vAlign w:val="bottom"/>
          </w:tcPr>
          <w:p>
            <w:pPr>
              <w:pStyle w:val="0"/>
              <w:jc w:val="center"/>
            </w:pPr>
            <w:r>
              <w:rPr>
                <w:sz w:val="24"/>
              </w:rPr>
              <w:t xml:space="preserve">2</w:t>
            </w:r>
          </w:p>
        </w:tc>
        <w:tc>
          <w:tcPr>
            <w:tcW w:w="856" w:type="dxa"/>
            <w:vAlign w:val="bottom"/>
          </w:tcPr>
          <w:p>
            <w:pPr>
              <w:pStyle w:val="0"/>
              <w:jc w:val="center"/>
            </w:pPr>
            <w:r>
              <w:rPr>
                <w:sz w:val="24"/>
              </w:rPr>
              <w:t xml:space="preserve">2</w:t>
            </w:r>
          </w:p>
        </w:tc>
        <w:tc>
          <w:tcPr>
            <w:tcW w:w="856" w:type="dxa"/>
            <w:vAlign w:val="bottom"/>
          </w:tcPr>
          <w:p>
            <w:pPr>
              <w:pStyle w:val="0"/>
              <w:jc w:val="center"/>
            </w:pPr>
            <w:r>
              <w:rPr>
                <w:sz w:val="24"/>
              </w:rPr>
              <w:t xml:space="preserve">2</w:t>
            </w:r>
          </w:p>
        </w:tc>
        <w:tc>
          <w:tcPr>
            <w:tcW w:w="856" w:type="dxa"/>
            <w:vAlign w:val="bottom"/>
          </w:tcPr>
          <w:p>
            <w:pPr>
              <w:pStyle w:val="0"/>
              <w:jc w:val="center"/>
            </w:pPr>
            <w:r>
              <w:rPr>
                <w:sz w:val="24"/>
              </w:rPr>
              <w:t xml:space="preserve">2</w:t>
            </w:r>
          </w:p>
        </w:tc>
        <w:tc>
          <w:tcPr>
            <w:tcW w:w="856" w:type="dxa"/>
            <w:vAlign w:val="bottom"/>
          </w:tcPr>
          <w:p>
            <w:pPr>
              <w:pStyle w:val="0"/>
              <w:jc w:val="center"/>
            </w:pPr>
            <w:r>
              <w:rPr>
                <w:sz w:val="24"/>
              </w:rPr>
              <w:t xml:space="preserve">2</w:t>
            </w:r>
          </w:p>
        </w:tc>
        <w:tc>
          <w:tcPr>
            <w:tcW w:w="856" w:type="dxa"/>
            <w:vAlign w:val="bottom"/>
          </w:tcPr>
          <w:p>
            <w:pPr>
              <w:pStyle w:val="0"/>
              <w:jc w:val="center"/>
            </w:pPr>
            <w:r>
              <w:rPr>
                <w:sz w:val="24"/>
              </w:rPr>
              <w:t xml:space="preserve">2</w:t>
            </w:r>
          </w:p>
        </w:tc>
        <w:tc>
          <w:tcPr>
            <w:tcW w:w="2536" w:type="dxa"/>
            <w:vAlign w:val="bottom"/>
          </w:tcPr>
          <w:p>
            <w:pPr>
              <w:pStyle w:val="0"/>
              <w:jc w:val="center"/>
            </w:pPr>
            <w:r>
              <w:rPr>
                <w:sz w:val="24"/>
              </w:rPr>
              <w:t xml:space="preserve">2</w:t>
            </w:r>
          </w:p>
        </w:tc>
      </w:tr>
      <w:tr>
        <w:tc>
          <w:tcPr>
            <w:tcW w:w="3052" w:type="dxa"/>
          </w:tcPr>
          <w:p>
            <w:pPr>
              <w:pStyle w:val="0"/>
            </w:pPr>
            <w:r>
              <w:rPr>
                <w:sz w:val="24"/>
              </w:rPr>
              <w:t xml:space="preserve">Колодцы подземных коммуникаций</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2536" w:type="dxa"/>
            <w:vAlign w:val="bottom"/>
          </w:tcPr>
          <w:p>
            <w:pPr>
              <w:pStyle w:val="0"/>
              <w:jc w:val="center"/>
            </w:pPr>
            <w:r>
              <w:rPr>
                <w:sz w:val="24"/>
              </w:rPr>
              <w:t xml:space="preserve">5</w:t>
            </w:r>
          </w:p>
        </w:tc>
      </w:tr>
      <w:tr>
        <w:tc>
          <w:tcPr>
            <w:tcW w:w="3052" w:type="dxa"/>
          </w:tcPr>
          <w:p>
            <w:pPr>
              <w:pStyle w:val="0"/>
            </w:pPr>
            <w:r>
              <w:rPr>
                <w:sz w:val="24"/>
              </w:rPr>
              <w:t xml:space="preserve">Железные дороги общей сети (до подошвы насыпи или бровки выемки со стороны резервуаров)</w:t>
            </w:r>
          </w:p>
        </w:tc>
        <w:tc>
          <w:tcPr>
            <w:tcW w:w="856" w:type="dxa"/>
            <w:vAlign w:val="bottom"/>
          </w:tcPr>
          <w:p>
            <w:pPr>
              <w:pStyle w:val="0"/>
              <w:jc w:val="center"/>
            </w:pPr>
            <w:r>
              <w:rPr>
                <w:sz w:val="24"/>
              </w:rPr>
              <w:t xml:space="preserve">25</w:t>
            </w:r>
          </w:p>
        </w:tc>
        <w:tc>
          <w:tcPr>
            <w:tcW w:w="856" w:type="dxa"/>
            <w:vAlign w:val="bottom"/>
          </w:tcPr>
          <w:p>
            <w:pPr>
              <w:pStyle w:val="0"/>
              <w:jc w:val="center"/>
            </w:pPr>
            <w:r>
              <w:rPr>
                <w:sz w:val="24"/>
              </w:rPr>
              <w:t xml:space="preserve">30</w:t>
            </w:r>
          </w:p>
        </w:tc>
        <w:tc>
          <w:tcPr>
            <w:tcW w:w="856" w:type="dxa"/>
            <w:vAlign w:val="bottom"/>
          </w:tcPr>
          <w:p>
            <w:pPr>
              <w:pStyle w:val="0"/>
              <w:jc w:val="center"/>
            </w:pPr>
            <w:r>
              <w:rPr>
                <w:sz w:val="24"/>
              </w:rPr>
              <w:t xml:space="preserve">40</w:t>
            </w:r>
          </w:p>
        </w:tc>
        <w:tc>
          <w:tcPr>
            <w:tcW w:w="856" w:type="dxa"/>
            <w:vAlign w:val="bottom"/>
          </w:tcPr>
          <w:p>
            <w:pPr>
              <w:pStyle w:val="0"/>
              <w:jc w:val="center"/>
            </w:pPr>
            <w:r>
              <w:rPr>
                <w:sz w:val="24"/>
              </w:rPr>
              <w:t xml:space="preserve">20</w:t>
            </w:r>
          </w:p>
        </w:tc>
        <w:tc>
          <w:tcPr>
            <w:tcW w:w="856" w:type="dxa"/>
            <w:vAlign w:val="bottom"/>
          </w:tcPr>
          <w:p>
            <w:pPr>
              <w:pStyle w:val="0"/>
              <w:jc w:val="center"/>
            </w:pPr>
            <w:r>
              <w:rPr>
                <w:sz w:val="24"/>
              </w:rPr>
              <w:t xml:space="preserve">25</w:t>
            </w:r>
          </w:p>
        </w:tc>
        <w:tc>
          <w:tcPr>
            <w:tcW w:w="856" w:type="dxa"/>
            <w:vAlign w:val="bottom"/>
          </w:tcPr>
          <w:p>
            <w:pPr>
              <w:pStyle w:val="0"/>
              <w:jc w:val="center"/>
            </w:pPr>
            <w:r>
              <w:rPr>
                <w:sz w:val="24"/>
              </w:rPr>
              <w:t xml:space="preserve">30</w:t>
            </w:r>
          </w:p>
        </w:tc>
        <w:tc>
          <w:tcPr>
            <w:tcW w:w="2536" w:type="dxa"/>
            <w:vAlign w:val="bottom"/>
          </w:tcPr>
          <w:p>
            <w:pPr>
              <w:pStyle w:val="0"/>
              <w:jc w:val="center"/>
            </w:pPr>
            <w:r>
              <w:rPr>
                <w:sz w:val="24"/>
              </w:rPr>
              <w:t xml:space="preserve">20</w:t>
            </w:r>
          </w:p>
        </w:tc>
      </w:tr>
      <w:tr>
        <w:tc>
          <w:tcPr>
            <w:tcW w:w="3052" w:type="dxa"/>
          </w:tcPr>
          <w:p>
            <w:pPr>
              <w:pStyle w:val="0"/>
            </w:pPr>
            <w:r>
              <w:rPr>
                <w:sz w:val="24"/>
              </w:rPr>
              <w:t xml:space="preserve">Подъездные пути железных дорог промышленных организаций, трамвайные пути (до оси пути), автомобильные дороги I - III категорий (до края проезжей части)</w:t>
            </w:r>
          </w:p>
        </w:tc>
        <w:tc>
          <w:tcPr>
            <w:tcW w:w="856" w:type="dxa"/>
            <w:vAlign w:val="bottom"/>
          </w:tcPr>
          <w:p>
            <w:pPr>
              <w:pStyle w:val="0"/>
              <w:jc w:val="center"/>
            </w:pPr>
            <w:r>
              <w:rPr>
                <w:sz w:val="24"/>
              </w:rPr>
              <w:t xml:space="preserve">20</w:t>
            </w:r>
          </w:p>
        </w:tc>
        <w:tc>
          <w:tcPr>
            <w:tcW w:w="856" w:type="dxa"/>
            <w:vAlign w:val="bottom"/>
          </w:tcPr>
          <w:p>
            <w:pPr>
              <w:pStyle w:val="0"/>
              <w:jc w:val="center"/>
            </w:pPr>
            <w:r>
              <w:rPr>
                <w:sz w:val="24"/>
              </w:rPr>
              <w:t xml:space="preserve">20</w:t>
            </w:r>
          </w:p>
        </w:tc>
        <w:tc>
          <w:tcPr>
            <w:tcW w:w="856" w:type="dxa"/>
            <w:vAlign w:val="bottom"/>
          </w:tcPr>
          <w:p>
            <w:pPr>
              <w:pStyle w:val="0"/>
              <w:jc w:val="center"/>
            </w:pPr>
            <w:r>
              <w:rPr>
                <w:sz w:val="24"/>
              </w:rPr>
              <w:t xml:space="preserve">20</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10</w:t>
            </w:r>
          </w:p>
        </w:tc>
        <w:tc>
          <w:tcPr>
            <w:tcW w:w="2536" w:type="dxa"/>
            <w:vAlign w:val="bottom"/>
          </w:tcPr>
          <w:p>
            <w:pPr>
              <w:pStyle w:val="0"/>
              <w:jc w:val="center"/>
            </w:pPr>
            <w:r>
              <w:rPr>
                <w:sz w:val="24"/>
              </w:rPr>
              <w:t xml:space="preserve">10</w:t>
            </w:r>
          </w:p>
        </w:tc>
      </w:tr>
      <w:tr>
        <w:tc>
          <w:tcPr>
            <w:tcW w:w="3052" w:type="dxa"/>
          </w:tcPr>
          <w:p>
            <w:pPr>
              <w:pStyle w:val="0"/>
              <w:jc w:val="both"/>
            </w:pPr>
            <w:r>
              <w:rPr>
                <w:sz w:val="24"/>
              </w:rPr>
              <w:t xml:space="preserve">Автомобильные дороги IV и V категорий (до края проезжей части) организаций</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10</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856" w:type="dxa"/>
            <w:vAlign w:val="bottom"/>
          </w:tcPr>
          <w:p>
            <w:pPr>
              <w:pStyle w:val="0"/>
              <w:jc w:val="center"/>
            </w:pPr>
            <w:r>
              <w:rPr>
                <w:sz w:val="24"/>
              </w:rPr>
              <w:t xml:space="preserve">5</w:t>
            </w:r>
          </w:p>
        </w:tc>
        <w:tc>
          <w:tcPr>
            <w:tcW w:w="2536" w:type="dxa"/>
            <w:vAlign w:val="bottom"/>
          </w:tcPr>
          <w:p>
            <w:pPr>
              <w:pStyle w:val="0"/>
              <w:jc w:val="center"/>
            </w:pPr>
            <w:r>
              <w:rPr>
                <w:sz w:val="24"/>
              </w:rPr>
              <w:t xml:space="preserve">5</w:t>
            </w:r>
          </w:p>
        </w:tc>
      </w:tr>
    </w:tbl>
    <w:p>
      <w:pPr>
        <w:pStyle w:val="0"/>
        <w:ind w:firstLine="540"/>
        <w:jc w:val="both"/>
      </w:pPr>
      <w:r>
        <w:rPr>
          <w:sz w:val="24"/>
        </w:rPr>
      </w:r>
    </w:p>
    <w:p>
      <w:pPr>
        <w:pStyle w:val="0"/>
        <w:ind w:firstLine="540"/>
        <w:jc w:val="both"/>
      </w:pPr>
      <w:r>
        <w:rPr>
          <w:sz w:val="24"/>
        </w:rPr>
        <w:t xml:space="preserve">Примечание. Знак "+" обозначает расстояние от резервуарной установки организаций до зданий и сооружений, которые установкой не обслуживаются.</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bookmarkStart w:id="2814" w:name="P2814"/>
    <w:bookmarkEnd w:id="2814"/>
    <w:p>
      <w:pPr>
        <w:pStyle w:val="0"/>
        <w:outlineLvl w:val="1"/>
        <w:jc w:val="center"/>
      </w:pPr>
      <w:r>
        <w:rPr>
          <w:sz w:val="24"/>
        </w:rPr>
        <w:t xml:space="preserve">Таблица 20</w:t>
      </w:r>
    </w:p>
    <w:p>
      <w:pPr>
        <w:pStyle w:val="0"/>
        <w:jc w:val="right"/>
      </w:pPr>
      <w:r>
        <w:rPr>
          <w:sz w:val="24"/>
        </w:rPr>
      </w:r>
    </w:p>
    <w:bookmarkStart w:id="2816" w:name="P2816"/>
    <w:bookmarkEnd w:id="2816"/>
    <w:p>
      <w:pPr>
        <w:pStyle w:val="2"/>
        <w:jc w:val="center"/>
      </w:pPr>
      <w:r>
        <w:rPr>
          <w:sz w:val="24"/>
        </w:rPr>
        <w:t xml:space="preserve">Противопожарные расстояния от резервуарных установок</w:t>
      </w:r>
    </w:p>
    <w:p>
      <w:pPr>
        <w:pStyle w:val="2"/>
        <w:jc w:val="center"/>
      </w:pPr>
      <w:r>
        <w:rPr>
          <w:sz w:val="24"/>
        </w:rPr>
        <w:t xml:space="preserve">сжиженных углеводородных газов до объектов защиты</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39"/>
        <w:gridCol w:w="694"/>
        <w:gridCol w:w="694"/>
        <w:gridCol w:w="769"/>
        <w:gridCol w:w="514"/>
        <w:gridCol w:w="694"/>
        <w:gridCol w:w="694"/>
        <w:gridCol w:w="694"/>
        <w:gridCol w:w="514"/>
        <w:gridCol w:w="694"/>
        <w:gridCol w:w="2074"/>
        <w:gridCol w:w="1037"/>
        <w:gridCol w:w="1037"/>
      </w:tblGrid>
      <w:tr>
        <w:tc>
          <w:tcPr>
            <w:tcW w:w="2239" w:type="dxa"/>
            <w:vMerge w:val="restart"/>
          </w:tcPr>
          <w:p>
            <w:pPr>
              <w:pStyle w:val="0"/>
              <w:jc w:val="center"/>
            </w:pPr>
            <w:r>
              <w:rPr>
                <w:sz w:val="24"/>
              </w:rPr>
              <w:t xml:space="preserve">Здания, сооружения и коммуникации</w:t>
            </w:r>
          </w:p>
        </w:tc>
        <w:tc>
          <w:tcPr>
            <w:gridSpan w:val="9"/>
            <w:tcW w:w="5961" w:type="dxa"/>
          </w:tcPr>
          <w:p>
            <w:pPr>
              <w:pStyle w:val="0"/>
              <w:jc w:val="center"/>
            </w:pPr>
            <w:r>
              <w:rPr>
                <w:sz w:val="24"/>
              </w:rPr>
              <w:t xml:space="preserve">Противопожарные расстояния от резервуаров сжиженных углеводородных газов, метры</w:t>
            </w:r>
          </w:p>
        </w:tc>
        <w:tc>
          <w:tcPr>
            <w:tcW w:w="2074" w:type="dxa"/>
            <w:vMerge w:val="restart"/>
          </w:tcPr>
          <w:p>
            <w:pPr>
              <w:pStyle w:val="0"/>
              <w:jc w:val="center"/>
            </w:pPr>
            <w:r>
              <w:rPr>
                <w:sz w:val="24"/>
              </w:rPr>
              <w:t xml:space="preserve">Противопожарные расстояния от помещений, установок, где используется сжиженный углеводородный газ, метры</w:t>
            </w:r>
          </w:p>
        </w:tc>
        <w:tc>
          <w:tcPr>
            <w:gridSpan w:val="2"/>
            <w:tcW w:w="2074" w:type="dxa"/>
            <w:vMerge w:val="restart"/>
          </w:tcPr>
          <w:p>
            <w:pPr>
              <w:pStyle w:val="0"/>
              <w:jc w:val="center"/>
            </w:pPr>
            <w:r>
              <w:rPr>
                <w:sz w:val="24"/>
              </w:rPr>
              <w:t xml:space="preserve">Противопожарные расстояния от склада наполненных баллонов общей вместимостью, метры</w:t>
            </w:r>
          </w:p>
        </w:tc>
      </w:tr>
      <w:tr>
        <w:tc>
          <w:tcPr>
            <w:vMerge w:val="continue"/>
          </w:tcPr>
          <w:p/>
        </w:tc>
        <w:tc>
          <w:tcPr>
            <w:gridSpan w:val="5"/>
            <w:tcW w:w="3365" w:type="dxa"/>
          </w:tcPr>
          <w:p>
            <w:pPr>
              <w:pStyle w:val="0"/>
              <w:jc w:val="center"/>
            </w:pPr>
            <w:r>
              <w:rPr>
                <w:sz w:val="24"/>
              </w:rPr>
              <w:t xml:space="preserve">надземных</w:t>
            </w:r>
          </w:p>
        </w:tc>
        <w:tc>
          <w:tcPr>
            <w:gridSpan w:val="4"/>
            <w:tcW w:w="2596" w:type="dxa"/>
          </w:tcPr>
          <w:p>
            <w:pPr>
              <w:pStyle w:val="0"/>
              <w:jc w:val="center"/>
            </w:pPr>
            <w:r>
              <w:rPr>
                <w:sz w:val="24"/>
              </w:rPr>
              <w:t xml:space="preserve">подземных</w:t>
            </w:r>
          </w:p>
        </w:tc>
        <w:tc>
          <w:tcPr>
            <w:vMerge w:val="continue"/>
          </w:tcPr>
          <w:p/>
        </w:tc>
        <w:tc>
          <w:tcPr>
            <w:gridSpan w:val="2"/>
            <w:vMerge w:val="continue"/>
          </w:tcPr>
          <w:p/>
        </w:tc>
      </w:tr>
      <w:tr>
        <w:tc>
          <w:tcPr>
            <w:vMerge w:val="continue"/>
          </w:tcPr>
          <w:p/>
        </w:tc>
        <w:tc>
          <w:tcPr>
            <w:gridSpan w:val="9"/>
            <w:tcW w:w="5961" w:type="dxa"/>
          </w:tcPr>
          <w:p>
            <w:pPr>
              <w:pStyle w:val="0"/>
              <w:jc w:val="center"/>
            </w:pPr>
            <w:r>
              <w:rPr>
                <w:sz w:val="24"/>
              </w:rPr>
              <w:t xml:space="preserve">при общей вместимости одного резервуара, кубические метры</w:t>
            </w:r>
          </w:p>
        </w:tc>
        <w:tc>
          <w:tcPr>
            <w:vMerge w:val="continue"/>
          </w:tcPr>
          <w:p/>
        </w:tc>
        <w:tc>
          <w:tcPr>
            <w:gridSpan w:val="2"/>
            <w:vMerge w:val="continue"/>
          </w:tcPr>
          <w:p/>
        </w:tc>
      </w:tr>
      <w:tr>
        <w:tc>
          <w:tcPr>
            <w:vMerge w:val="continue"/>
          </w:tcPr>
          <w:p/>
        </w:tc>
        <w:tc>
          <w:tcPr>
            <w:tcW w:w="694" w:type="dxa"/>
          </w:tcPr>
          <w:p>
            <w:pPr>
              <w:pStyle w:val="0"/>
              <w:jc w:val="center"/>
            </w:pPr>
            <w:r>
              <w:rPr>
                <w:sz w:val="24"/>
              </w:rPr>
              <w:t xml:space="preserve">более 20, но не более 50</w:t>
            </w:r>
          </w:p>
        </w:tc>
        <w:tc>
          <w:tcPr>
            <w:tcW w:w="694" w:type="dxa"/>
          </w:tcPr>
          <w:p>
            <w:pPr>
              <w:pStyle w:val="0"/>
              <w:jc w:val="center"/>
            </w:pPr>
            <w:r>
              <w:rPr>
                <w:sz w:val="24"/>
              </w:rPr>
              <w:t xml:space="preserve">более 50, но не более 200</w:t>
            </w:r>
          </w:p>
        </w:tc>
        <w:tc>
          <w:tcPr>
            <w:tcW w:w="769" w:type="dxa"/>
          </w:tcPr>
          <w:p>
            <w:pPr>
              <w:pStyle w:val="0"/>
              <w:jc w:val="center"/>
            </w:pPr>
            <w:r>
              <w:rPr>
                <w:sz w:val="24"/>
              </w:rPr>
              <w:t xml:space="preserve">более 50, но не более 500</w:t>
            </w:r>
          </w:p>
        </w:tc>
        <w:tc>
          <w:tcPr>
            <w:gridSpan w:val="2"/>
            <w:tcW w:w="1208" w:type="dxa"/>
          </w:tcPr>
          <w:p>
            <w:pPr>
              <w:pStyle w:val="0"/>
              <w:jc w:val="center"/>
            </w:pPr>
            <w:r>
              <w:rPr>
                <w:sz w:val="24"/>
              </w:rPr>
              <w:t xml:space="preserve">более 200, но не более 8000</w:t>
            </w:r>
          </w:p>
        </w:tc>
        <w:tc>
          <w:tcPr>
            <w:tcW w:w="694" w:type="dxa"/>
          </w:tcPr>
          <w:p>
            <w:pPr>
              <w:pStyle w:val="0"/>
              <w:jc w:val="center"/>
            </w:pPr>
            <w:r>
              <w:rPr>
                <w:sz w:val="24"/>
              </w:rPr>
              <w:t xml:space="preserve">более 50, но не более 200</w:t>
            </w:r>
          </w:p>
        </w:tc>
        <w:tc>
          <w:tcPr>
            <w:tcW w:w="694" w:type="dxa"/>
          </w:tcPr>
          <w:p>
            <w:pPr>
              <w:pStyle w:val="0"/>
              <w:jc w:val="center"/>
            </w:pPr>
            <w:r>
              <w:rPr>
                <w:sz w:val="24"/>
              </w:rPr>
              <w:t xml:space="preserve">более 50, но не более 500</w:t>
            </w:r>
          </w:p>
        </w:tc>
        <w:tc>
          <w:tcPr>
            <w:gridSpan w:val="2"/>
            <w:tcW w:w="1208" w:type="dxa"/>
          </w:tcPr>
          <w:p>
            <w:pPr>
              <w:pStyle w:val="0"/>
              <w:jc w:val="center"/>
            </w:pPr>
            <w:r>
              <w:rPr>
                <w:sz w:val="24"/>
              </w:rPr>
              <w:t xml:space="preserve">более 200, но не более 8000</w:t>
            </w:r>
          </w:p>
        </w:tc>
        <w:tc>
          <w:tcPr>
            <w:vMerge w:val="continue"/>
          </w:tcPr>
          <w:p/>
        </w:tc>
        <w:tc>
          <w:tcPr>
            <w:gridSpan w:val="2"/>
            <w:vMerge w:val="continue"/>
          </w:tcPr>
          <w:p/>
        </w:tc>
      </w:tr>
      <w:tr>
        <w:tc>
          <w:tcPr>
            <w:vMerge w:val="continue"/>
          </w:tcPr>
          <w:p/>
        </w:tc>
        <w:tc>
          <w:tcPr>
            <w:gridSpan w:val="9"/>
            <w:tcW w:w="5961" w:type="dxa"/>
          </w:tcPr>
          <w:p>
            <w:pPr>
              <w:pStyle w:val="0"/>
              <w:jc w:val="center"/>
            </w:pPr>
            <w:r>
              <w:rPr>
                <w:sz w:val="24"/>
              </w:rPr>
              <w:t xml:space="preserve">Максимальная вместимость одного резервуара, кубические метры</w:t>
            </w:r>
          </w:p>
        </w:tc>
        <w:tc>
          <w:tcPr>
            <w:vMerge w:val="continue"/>
          </w:tcPr>
          <w:p/>
        </w:tc>
        <w:tc>
          <w:tcPr>
            <w:gridSpan w:val="2"/>
            <w:vMerge w:val="continue"/>
          </w:tcPr>
          <w:p/>
        </w:tc>
      </w:tr>
      <w:tr>
        <w:tc>
          <w:tcPr>
            <w:vMerge w:val="continue"/>
          </w:tcPr>
          <w:p/>
        </w:tc>
        <w:tc>
          <w:tcPr>
            <w:tcW w:w="694" w:type="dxa"/>
          </w:tcPr>
          <w:p>
            <w:pPr>
              <w:pStyle w:val="0"/>
              <w:jc w:val="center"/>
            </w:pPr>
            <w:r>
              <w:rPr>
                <w:sz w:val="24"/>
              </w:rPr>
              <w:t xml:space="preserve">не более 25</w:t>
            </w:r>
          </w:p>
        </w:tc>
        <w:tc>
          <w:tcPr>
            <w:tcW w:w="694" w:type="dxa"/>
          </w:tcPr>
          <w:p>
            <w:pPr>
              <w:pStyle w:val="0"/>
              <w:jc w:val="center"/>
            </w:pPr>
            <w:r>
              <w:rPr>
                <w:sz w:val="24"/>
              </w:rPr>
              <w:t xml:space="preserve">25</w:t>
            </w:r>
          </w:p>
        </w:tc>
        <w:tc>
          <w:tcPr>
            <w:tcW w:w="769" w:type="dxa"/>
          </w:tcPr>
          <w:p>
            <w:pPr>
              <w:pStyle w:val="0"/>
              <w:jc w:val="center"/>
            </w:pPr>
            <w:r>
              <w:rPr>
                <w:sz w:val="24"/>
              </w:rPr>
              <w:t xml:space="preserve">50</w:t>
            </w:r>
          </w:p>
        </w:tc>
        <w:tc>
          <w:tcPr>
            <w:tcW w:w="514" w:type="dxa"/>
          </w:tcPr>
          <w:p>
            <w:pPr>
              <w:pStyle w:val="0"/>
              <w:jc w:val="center"/>
            </w:pPr>
            <w:r>
              <w:rPr>
                <w:sz w:val="24"/>
              </w:rPr>
              <w:t xml:space="preserve">100</w:t>
            </w:r>
          </w:p>
        </w:tc>
        <w:tc>
          <w:tcPr>
            <w:tcW w:w="694" w:type="dxa"/>
          </w:tcPr>
          <w:p>
            <w:pPr>
              <w:pStyle w:val="0"/>
              <w:jc w:val="center"/>
            </w:pPr>
            <w:r>
              <w:rPr>
                <w:sz w:val="24"/>
              </w:rPr>
              <w:t xml:space="preserve">более 100, но не более 600</w:t>
            </w:r>
          </w:p>
        </w:tc>
        <w:tc>
          <w:tcPr>
            <w:tcW w:w="694" w:type="dxa"/>
          </w:tcPr>
          <w:p>
            <w:pPr>
              <w:pStyle w:val="0"/>
              <w:jc w:val="center"/>
            </w:pPr>
            <w:r>
              <w:rPr>
                <w:sz w:val="24"/>
              </w:rPr>
              <w:t xml:space="preserve">25</w:t>
            </w:r>
          </w:p>
        </w:tc>
        <w:tc>
          <w:tcPr>
            <w:tcW w:w="694" w:type="dxa"/>
          </w:tcPr>
          <w:p>
            <w:pPr>
              <w:pStyle w:val="0"/>
              <w:jc w:val="center"/>
            </w:pPr>
            <w:r>
              <w:rPr>
                <w:sz w:val="24"/>
              </w:rPr>
              <w:t xml:space="preserve">50</w:t>
            </w:r>
          </w:p>
        </w:tc>
        <w:tc>
          <w:tcPr>
            <w:tcW w:w="514" w:type="dxa"/>
          </w:tcPr>
          <w:p>
            <w:pPr>
              <w:pStyle w:val="0"/>
              <w:jc w:val="center"/>
            </w:pPr>
            <w:r>
              <w:rPr>
                <w:sz w:val="24"/>
              </w:rPr>
              <w:t xml:space="preserve">100</w:t>
            </w:r>
          </w:p>
        </w:tc>
        <w:tc>
          <w:tcPr>
            <w:tcW w:w="694" w:type="dxa"/>
          </w:tcPr>
          <w:p>
            <w:pPr>
              <w:pStyle w:val="0"/>
              <w:jc w:val="center"/>
            </w:pPr>
            <w:r>
              <w:rPr>
                <w:sz w:val="24"/>
              </w:rPr>
              <w:t xml:space="preserve">более 100, но не более 600</w:t>
            </w:r>
          </w:p>
        </w:tc>
        <w:tc>
          <w:tcPr>
            <w:vMerge w:val="continue"/>
          </w:tcPr>
          <w:p/>
        </w:tc>
        <w:tc>
          <w:tcPr>
            <w:tcW w:w="1037" w:type="dxa"/>
          </w:tcPr>
          <w:p>
            <w:pPr>
              <w:pStyle w:val="0"/>
              <w:jc w:val="center"/>
            </w:pPr>
            <w:r>
              <w:rPr>
                <w:sz w:val="24"/>
              </w:rPr>
              <w:t xml:space="preserve">не более 20</w:t>
            </w:r>
          </w:p>
        </w:tc>
        <w:tc>
          <w:tcPr>
            <w:tcW w:w="1037" w:type="dxa"/>
          </w:tcPr>
          <w:p>
            <w:pPr>
              <w:pStyle w:val="0"/>
              <w:jc w:val="center"/>
            </w:pPr>
            <w:r>
              <w:rPr>
                <w:sz w:val="24"/>
              </w:rPr>
              <w:t xml:space="preserve">более 20</w:t>
            </w:r>
          </w:p>
        </w:tc>
      </w:tr>
      <w:tr>
        <w:tc>
          <w:tcPr>
            <w:tcW w:w="2239" w:type="dxa"/>
          </w:tcPr>
          <w:p>
            <w:pPr>
              <w:pStyle w:val="0"/>
            </w:pPr>
            <w:r>
              <w:rPr>
                <w:sz w:val="24"/>
              </w:rPr>
              <w:t xml:space="preserve">Жилые, общественные здания</w:t>
            </w:r>
          </w:p>
        </w:tc>
        <w:tc>
          <w:tcPr>
            <w:tcW w:w="694" w:type="dxa"/>
            <w:vAlign w:val="bottom"/>
          </w:tcPr>
          <w:p>
            <w:pPr>
              <w:pStyle w:val="0"/>
              <w:jc w:val="center"/>
            </w:pPr>
            <w:r>
              <w:rPr>
                <w:sz w:val="24"/>
              </w:rPr>
              <w:t xml:space="preserve">70</w:t>
            </w:r>
          </w:p>
        </w:tc>
        <w:tc>
          <w:tcPr>
            <w:tcW w:w="694" w:type="dxa"/>
            <w:vAlign w:val="bottom"/>
          </w:tcPr>
          <w:p>
            <w:pPr>
              <w:pStyle w:val="0"/>
              <w:jc w:val="center"/>
            </w:pPr>
            <w:r>
              <w:rPr>
                <w:sz w:val="24"/>
              </w:rPr>
              <w:t xml:space="preserve">80</w:t>
            </w:r>
          </w:p>
        </w:tc>
        <w:tc>
          <w:tcPr>
            <w:tcW w:w="769" w:type="dxa"/>
            <w:vAlign w:val="bottom"/>
          </w:tcPr>
          <w:p>
            <w:pPr>
              <w:pStyle w:val="0"/>
              <w:jc w:val="center"/>
            </w:pPr>
            <w:r>
              <w:rPr>
                <w:sz w:val="24"/>
              </w:rPr>
              <w:t xml:space="preserve">150</w:t>
            </w:r>
          </w:p>
        </w:tc>
        <w:tc>
          <w:tcPr>
            <w:tcW w:w="514" w:type="dxa"/>
            <w:vAlign w:val="bottom"/>
          </w:tcPr>
          <w:p>
            <w:pPr>
              <w:pStyle w:val="0"/>
              <w:jc w:val="center"/>
            </w:pPr>
            <w:r>
              <w:rPr>
                <w:sz w:val="24"/>
              </w:rPr>
              <w:t xml:space="preserve">200</w:t>
            </w:r>
          </w:p>
        </w:tc>
        <w:tc>
          <w:tcPr>
            <w:tcW w:w="694" w:type="dxa"/>
            <w:vAlign w:val="bottom"/>
          </w:tcPr>
          <w:p>
            <w:pPr>
              <w:pStyle w:val="0"/>
              <w:jc w:val="center"/>
            </w:pPr>
            <w:r>
              <w:rPr>
                <w:sz w:val="24"/>
              </w:rPr>
              <w:t xml:space="preserve">300</w:t>
            </w:r>
          </w:p>
        </w:tc>
        <w:tc>
          <w:tcPr>
            <w:tcW w:w="694" w:type="dxa"/>
            <w:vAlign w:val="bottom"/>
          </w:tcPr>
          <w:p>
            <w:pPr>
              <w:pStyle w:val="0"/>
              <w:jc w:val="center"/>
            </w:pPr>
            <w:r>
              <w:rPr>
                <w:sz w:val="24"/>
              </w:rPr>
              <w:t xml:space="preserve">40</w:t>
            </w:r>
          </w:p>
        </w:tc>
        <w:tc>
          <w:tcPr>
            <w:tcW w:w="694" w:type="dxa"/>
            <w:vAlign w:val="bottom"/>
          </w:tcPr>
          <w:p>
            <w:pPr>
              <w:pStyle w:val="0"/>
              <w:jc w:val="center"/>
            </w:pPr>
            <w:r>
              <w:rPr>
                <w:sz w:val="24"/>
              </w:rPr>
              <w:t xml:space="preserve">75</w:t>
            </w:r>
          </w:p>
        </w:tc>
        <w:tc>
          <w:tcPr>
            <w:tcW w:w="514" w:type="dxa"/>
            <w:vAlign w:val="bottom"/>
          </w:tcPr>
          <w:p>
            <w:pPr>
              <w:pStyle w:val="0"/>
              <w:jc w:val="center"/>
            </w:pPr>
            <w:r>
              <w:rPr>
                <w:sz w:val="24"/>
              </w:rPr>
              <w:t xml:space="preserve">100</w:t>
            </w:r>
          </w:p>
        </w:tc>
        <w:tc>
          <w:tcPr>
            <w:tcW w:w="694" w:type="dxa"/>
            <w:vAlign w:val="bottom"/>
          </w:tcPr>
          <w:p>
            <w:pPr>
              <w:pStyle w:val="0"/>
              <w:jc w:val="center"/>
            </w:pPr>
            <w:r>
              <w:rPr>
                <w:sz w:val="24"/>
              </w:rPr>
              <w:t xml:space="preserve">150</w:t>
            </w:r>
          </w:p>
        </w:tc>
        <w:tc>
          <w:tcPr>
            <w:tcW w:w="2074" w:type="dxa"/>
            <w:vAlign w:val="bottom"/>
          </w:tcPr>
          <w:p>
            <w:pPr>
              <w:pStyle w:val="0"/>
              <w:jc w:val="center"/>
            </w:pPr>
            <w:r>
              <w:rPr>
                <w:sz w:val="24"/>
              </w:rPr>
              <w:t xml:space="preserve">50</w:t>
            </w:r>
          </w:p>
        </w:tc>
        <w:tc>
          <w:tcPr>
            <w:tcW w:w="1037" w:type="dxa"/>
            <w:vAlign w:val="bottom"/>
          </w:tcPr>
          <w:p>
            <w:pPr>
              <w:pStyle w:val="0"/>
              <w:jc w:val="center"/>
            </w:pPr>
            <w:r>
              <w:rPr>
                <w:sz w:val="24"/>
              </w:rPr>
              <w:t xml:space="preserve">50</w:t>
            </w:r>
          </w:p>
        </w:tc>
        <w:tc>
          <w:tcPr>
            <w:tcW w:w="1037" w:type="dxa"/>
            <w:vAlign w:val="bottom"/>
          </w:tcPr>
          <w:p>
            <w:pPr>
              <w:pStyle w:val="0"/>
              <w:jc w:val="center"/>
            </w:pPr>
            <w:r>
              <w:rPr>
                <w:sz w:val="24"/>
              </w:rPr>
              <w:t xml:space="preserve">100</w:t>
            </w:r>
          </w:p>
        </w:tc>
      </w:tr>
      <w:tr>
        <w:tc>
          <w:tcPr>
            <w:tcW w:w="2239" w:type="dxa"/>
          </w:tcPr>
          <w:p>
            <w:pPr>
              <w:pStyle w:val="0"/>
            </w:pPr>
            <w:r>
              <w:rPr>
                <w:sz w:val="24"/>
              </w:rPr>
              <w:t xml:space="preserve">Административные, бытовые, производственные здания, здания котельных, гаражей и открытых стоянок</w:t>
            </w:r>
          </w:p>
        </w:tc>
        <w:tc>
          <w:tcPr>
            <w:tcW w:w="694" w:type="dxa"/>
            <w:vAlign w:val="bottom"/>
          </w:tcPr>
          <w:p>
            <w:pPr>
              <w:pStyle w:val="0"/>
              <w:jc w:val="center"/>
            </w:pPr>
            <w:r>
              <w:rPr>
                <w:sz w:val="24"/>
              </w:rPr>
              <w:t xml:space="preserve">70</w:t>
            </w:r>
          </w:p>
          <w:p>
            <w:pPr>
              <w:pStyle w:val="0"/>
              <w:jc w:val="center"/>
            </w:pPr>
            <w:r>
              <w:rPr>
                <w:sz w:val="24"/>
              </w:rPr>
              <w:t xml:space="preserve">(30)</w:t>
            </w:r>
          </w:p>
        </w:tc>
        <w:tc>
          <w:tcPr>
            <w:tcW w:w="694" w:type="dxa"/>
            <w:vAlign w:val="bottom"/>
          </w:tcPr>
          <w:p>
            <w:pPr>
              <w:pStyle w:val="0"/>
              <w:jc w:val="center"/>
            </w:pPr>
            <w:r>
              <w:rPr>
                <w:sz w:val="24"/>
              </w:rPr>
              <w:t xml:space="preserve">80</w:t>
            </w:r>
          </w:p>
          <w:p>
            <w:pPr>
              <w:pStyle w:val="0"/>
              <w:jc w:val="center"/>
            </w:pPr>
            <w:r>
              <w:rPr>
                <w:sz w:val="24"/>
              </w:rPr>
              <w:t xml:space="preserve">(50)</w:t>
            </w:r>
          </w:p>
        </w:tc>
        <w:tc>
          <w:tcPr>
            <w:tcW w:w="769" w:type="dxa"/>
            <w:vAlign w:val="bottom"/>
          </w:tcPr>
          <w:p>
            <w:pPr>
              <w:pStyle w:val="0"/>
              <w:jc w:val="center"/>
            </w:pPr>
            <w:r>
              <w:rPr>
                <w:sz w:val="24"/>
              </w:rPr>
              <w:t xml:space="preserve">150</w:t>
            </w:r>
          </w:p>
          <w:p>
            <w:pPr>
              <w:pStyle w:val="0"/>
              <w:jc w:val="center"/>
            </w:pPr>
            <w:r>
              <w:rPr>
                <w:sz w:val="24"/>
              </w:rPr>
              <w:t xml:space="preserve">(110)+</w:t>
            </w:r>
          </w:p>
        </w:tc>
        <w:tc>
          <w:tcPr>
            <w:tcW w:w="514" w:type="dxa"/>
            <w:vAlign w:val="bottom"/>
          </w:tcPr>
          <w:p>
            <w:pPr>
              <w:pStyle w:val="0"/>
              <w:jc w:val="center"/>
            </w:pPr>
            <w:r>
              <w:rPr>
                <w:sz w:val="24"/>
              </w:rPr>
              <w:t xml:space="preserve">200</w:t>
            </w:r>
          </w:p>
        </w:tc>
        <w:tc>
          <w:tcPr>
            <w:tcW w:w="694" w:type="dxa"/>
            <w:vAlign w:val="bottom"/>
          </w:tcPr>
          <w:p>
            <w:pPr>
              <w:pStyle w:val="0"/>
              <w:jc w:val="center"/>
            </w:pPr>
            <w:r>
              <w:rPr>
                <w:sz w:val="24"/>
              </w:rPr>
              <w:t xml:space="preserve">300</w:t>
            </w:r>
          </w:p>
        </w:tc>
        <w:tc>
          <w:tcPr>
            <w:tcW w:w="694" w:type="dxa"/>
            <w:vAlign w:val="bottom"/>
          </w:tcPr>
          <w:p>
            <w:pPr>
              <w:pStyle w:val="0"/>
              <w:jc w:val="center"/>
            </w:pPr>
            <w:r>
              <w:rPr>
                <w:sz w:val="24"/>
              </w:rPr>
              <w:t xml:space="preserve">40</w:t>
            </w:r>
          </w:p>
          <w:p>
            <w:pPr>
              <w:pStyle w:val="0"/>
              <w:jc w:val="center"/>
            </w:pPr>
            <w:r>
              <w:rPr>
                <w:sz w:val="24"/>
              </w:rPr>
              <w:t xml:space="preserve">(25)</w:t>
            </w:r>
          </w:p>
        </w:tc>
        <w:tc>
          <w:tcPr>
            <w:tcW w:w="694" w:type="dxa"/>
            <w:vAlign w:val="bottom"/>
          </w:tcPr>
          <w:p>
            <w:pPr>
              <w:pStyle w:val="0"/>
              <w:jc w:val="center"/>
            </w:pPr>
            <w:r>
              <w:rPr>
                <w:sz w:val="24"/>
              </w:rPr>
              <w:t xml:space="preserve">75</w:t>
            </w:r>
          </w:p>
          <w:p>
            <w:pPr>
              <w:pStyle w:val="0"/>
              <w:jc w:val="center"/>
            </w:pPr>
            <w:r>
              <w:rPr>
                <w:sz w:val="24"/>
              </w:rPr>
              <w:t xml:space="preserve">(55)+</w:t>
            </w:r>
          </w:p>
        </w:tc>
        <w:tc>
          <w:tcPr>
            <w:tcW w:w="514" w:type="dxa"/>
            <w:vAlign w:val="bottom"/>
          </w:tcPr>
          <w:p>
            <w:pPr>
              <w:pStyle w:val="0"/>
              <w:jc w:val="center"/>
            </w:pPr>
            <w:r>
              <w:rPr>
                <w:sz w:val="24"/>
              </w:rPr>
              <w:t xml:space="preserve">100</w:t>
            </w:r>
          </w:p>
        </w:tc>
        <w:tc>
          <w:tcPr>
            <w:tcW w:w="694" w:type="dxa"/>
            <w:vAlign w:val="bottom"/>
          </w:tcPr>
          <w:p>
            <w:pPr>
              <w:pStyle w:val="0"/>
              <w:jc w:val="center"/>
            </w:pPr>
            <w:r>
              <w:rPr>
                <w:sz w:val="24"/>
              </w:rPr>
              <w:t xml:space="preserve">150</w:t>
            </w:r>
          </w:p>
        </w:tc>
        <w:tc>
          <w:tcPr>
            <w:tcW w:w="2074" w:type="dxa"/>
            <w:vAlign w:val="bottom"/>
          </w:tcPr>
          <w:p>
            <w:pPr>
              <w:pStyle w:val="0"/>
              <w:jc w:val="center"/>
            </w:pPr>
            <w:r>
              <w:rPr>
                <w:sz w:val="24"/>
              </w:rPr>
              <w:t xml:space="preserve">50</w:t>
            </w:r>
          </w:p>
        </w:tc>
        <w:tc>
          <w:tcPr>
            <w:tcW w:w="1037" w:type="dxa"/>
            <w:vAlign w:val="bottom"/>
          </w:tcPr>
          <w:p>
            <w:pPr>
              <w:pStyle w:val="0"/>
              <w:jc w:val="center"/>
            </w:pPr>
            <w:r>
              <w:rPr>
                <w:sz w:val="24"/>
              </w:rPr>
              <w:t xml:space="preserve">50</w:t>
            </w:r>
          </w:p>
          <w:p>
            <w:pPr>
              <w:pStyle w:val="0"/>
              <w:jc w:val="center"/>
            </w:pPr>
            <w:r>
              <w:rPr>
                <w:sz w:val="24"/>
              </w:rPr>
              <w:t xml:space="preserve">(20)</w:t>
            </w:r>
          </w:p>
        </w:tc>
        <w:tc>
          <w:tcPr>
            <w:tcW w:w="1037" w:type="dxa"/>
            <w:vAlign w:val="bottom"/>
          </w:tcPr>
          <w:p>
            <w:pPr>
              <w:pStyle w:val="0"/>
              <w:jc w:val="center"/>
            </w:pPr>
            <w:r>
              <w:rPr>
                <w:sz w:val="24"/>
              </w:rPr>
              <w:t xml:space="preserve">100</w:t>
            </w:r>
          </w:p>
          <w:p>
            <w:pPr>
              <w:pStyle w:val="0"/>
              <w:jc w:val="center"/>
            </w:pPr>
            <w:r>
              <w:rPr>
                <w:sz w:val="24"/>
              </w:rPr>
              <w:t xml:space="preserve">(30)</w:t>
            </w:r>
          </w:p>
        </w:tc>
      </w:tr>
      <w:tr>
        <w:tc>
          <w:tcPr>
            <w:tcW w:w="2239" w:type="dxa"/>
          </w:tcPr>
          <w:p>
            <w:pPr>
              <w:pStyle w:val="0"/>
            </w:pPr>
            <w:r>
              <w:rPr>
                <w:sz w:val="24"/>
              </w:rPr>
              <w:t xml:space="preserve">Надземные сооружения и коммуникации (эстакады, теплотрассы), подсобные постройки жилых зданий</w:t>
            </w:r>
          </w:p>
        </w:tc>
        <w:tc>
          <w:tcPr>
            <w:tcW w:w="694" w:type="dxa"/>
            <w:vAlign w:val="bottom"/>
          </w:tcPr>
          <w:p>
            <w:pPr>
              <w:pStyle w:val="0"/>
              <w:jc w:val="center"/>
            </w:pPr>
            <w:r>
              <w:rPr>
                <w:sz w:val="24"/>
              </w:rPr>
              <w:t xml:space="preserve">30</w:t>
            </w:r>
          </w:p>
          <w:p>
            <w:pPr>
              <w:pStyle w:val="0"/>
              <w:jc w:val="center"/>
            </w:pPr>
            <w:r>
              <w:rPr>
                <w:sz w:val="24"/>
              </w:rPr>
              <w:t xml:space="preserve">(15)</w:t>
            </w:r>
          </w:p>
        </w:tc>
        <w:tc>
          <w:tcPr>
            <w:tcW w:w="694" w:type="dxa"/>
            <w:vAlign w:val="bottom"/>
          </w:tcPr>
          <w:p>
            <w:pPr>
              <w:pStyle w:val="0"/>
              <w:jc w:val="center"/>
            </w:pPr>
            <w:r>
              <w:rPr>
                <w:sz w:val="24"/>
              </w:rPr>
              <w:t xml:space="preserve">30</w:t>
            </w:r>
          </w:p>
          <w:p>
            <w:pPr>
              <w:pStyle w:val="0"/>
              <w:jc w:val="center"/>
            </w:pPr>
            <w:r>
              <w:rPr>
                <w:sz w:val="24"/>
              </w:rPr>
              <w:t xml:space="preserve">(20)</w:t>
            </w:r>
          </w:p>
        </w:tc>
        <w:tc>
          <w:tcPr>
            <w:tcW w:w="769" w:type="dxa"/>
            <w:vAlign w:val="bottom"/>
          </w:tcPr>
          <w:p>
            <w:pPr>
              <w:pStyle w:val="0"/>
              <w:jc w:val="center"/>
            </w:pPr>
            <w:r>
              <w:rPr>
                <w:sz w:val="24"/>
              </w:rPr>
              <w:t xml:space="preserve">40</w:t>
            </w:r>
          </w:p>
          <w:p>
            <w:pPr>
              <w:pStyle w:val="0"/>
              <w:jc w:val="center"/>
            </w:pPr>
            <w:r>
              <w:rPr>
                <w:sz w:val="24"/>
              </w:rPr>
              <w:t xml:space="preserve">(30)</w:t>
            </w:r>
          </w:p>
        </w:tc>
        <w:tc>
          <w:tcPr>
            <w:tcW w:w="514" w:type="dxa"/>
            <w:vAlign w:val="bottom"/>
          </w:tcPr>
          <w:p>
            <w:pPr>
              <w:pStyle w:val="0"/>
              <w:jc w:val="center"/>
            </w:pPr>
            <w:r>
              <w:rPr>
                <w:sz w:val="24"/>
              </w:rPr>
              <w:t xml:space="preserve">40</w:t>
            </w:r>
          </w:p>
          <w:p>
            <w:pPr>
              <w:pStyle w:val="0"/>
              <w:jc w:val="center"/>
            </w:pPr>
            <w:r>
              <w:rPr>
                <w:sz w:val="24"/>
              </w:rPr>
              <w:t xml:space="preserve">(30)</w:t>
            </w:r>
          </w:p>
        </w:tc>
        <w:tc>
          <w:tcPr>
            <w:tcW w:w="694" w:type="dxa"/>
            <w:vAlign w:val="bottom"/>
          </w:tcPr>
          <w:p>
            <w:pPr>
              <w:pStyle w:val="0"/>
              <w:jc w:val="center"/>
            </w:pPr>
            <w:r>
              <w:rPr>
                <w:sz w:val="24"/>
              </w:rPr>
              <w:t xml:space="preserve">40</w:t>
            </w:r>
          </w:p>
          <w:p>
            <w:pPr>
              <w:pStyle w:val="0"/>
              <w:jc w:val="center"/>
            </w:pPr>
            <w:r>
              <w:rPr>
                <w:sz w:val="24"/>
              </w:rPr>
              <w:t xml:space="preserve">(30)</w:t>
            </w:r>
          </w:p>
        </w:tc>
        <w:tc>
          <w:tcPr>
            <w:tcW w:w="694" w:type="dxa"/>
            <w:vAlign w:val="bottom"/>
          </w:tcPr>
          <w:p>
            <w:pPr>
              <w:pStyle w:val="0"/>
              <w:jc w:val="center"/>
            </w:pPr>
            <w:r>
              <w:rPr>
                <w:sz w:val="24"/>
              </w:rPr>
              <w:t xml:space="preserve">20</w:t>
            </w:r>
          </w:p>
          <w:p>
            <w:pPr>
              <w:pStyle w:val="0"/>
              <w:jc w:val="center"/>
            </w:pPr>
            <w:r>
              <w:rPr>
                <w:sz w:val="24"/>
              </w:rPr>
              <w:t xml:space="preserve">(15)</w:t>
            </w:r>
          </w:p>
        </w:tc>
        <w:tc>
          <w:tcPr>
            <w:tcW w:w="694" w:type="dxa"/>
            <w:vAlign w:val="bottom"/>
          </w:tcPr>
          <w:p>
            <w:pPr>
              <w:pStyle w:val="0"/>
              <w:jc w:val="center"/>
            </w:pPr>
            <w:r>
              <w:rPr>
                <w:sz w:val="24"/>
              </w:rPr>
              <w:t xml:space="preserve">25</w:t>
            </w:r>
          </w:p>
          <w:p>
            <w:pPr>
              <w:pStyle w:val="0"/>
              <w:jc w:val="center"/>
            </w:pPr>
            <w:r>
              <w:rPr>
                <w:sz w:val="24"/>
              </w:rPr>
              <w:t xml:space="preserve">(15)</w:t>
            </w:r>
          </w:p>
        </w:tc>
        <w:tc>
          <w:tcPr>
            <w:tcW w:w="514" w:type="dxa"/>
            <w:vAlign w:val="bottom"/>
          </w:tcPr>
          <w:p>
            <w:pPr>
              <w:pStyle w:val="0"/>
              <w:jc w:val="center"/>
            </w:pPr>
            <w:r>
              <w:rPr>
                <w:sz w:val="24"/>
              </w:rPr>
              <w:t xml:space="preserve">25 (15)</w:t>
            </w:r>
          </w:p>
        </w:tc>
        <w:tc>
          <w:tcPr>
            <w:tcW w:w="694" w:type="dxa"/>
            <w:vAlign w:val="bottom"/>
          </w:tcPr>
          <w:p>
            <w:pPr>
              <w:pStyle w:val="0"/>
              <w:jc w:val="center"/>
            </w:pPr>
            <w:r>
              <w:rPr>
                <w:sz w:val="24"/>
              </w:rPr>
              <w:t xml:space="preserve">25</w:t>
            </w:r>
          </w:p>
          <w:p>
            <w:pPr>
              <w:pStyle w:val="0"/>
              <w:jc w:val="center"/>
            </w:pPr>
            <w:r>
              <w:rPr>
                <w:sz w:val="24"/>
              </w:rPr>
              <w:t xml:space="preserve">(15)</w:t>
            </w:r>
          </w:p>
        </w:tc>
        <w:tc>
          <w:tcPr>
            <w:tcW w:w="2074" w:type="dxa"/>
            <w:vAlign w:val="bottom"/>
          </w:tcPr>
          <w:p>
            <w:pPr>
              <w:pStyle w:val="0"/>
              <w:jc w:val="center"/>
            </w:pPr>
            <w:r>
              <w:rPr>
                <w:sz w:val="24"/>
              </w:rPr>
              <w:t xml:space="preserve">30</w:t>
            </w:r>
          </w:p>
        </w:tc>
        <w:tc>
          <w:tcPr>
            <w:tcW w:w="1037" w:type="dxa"/>
            <w:vAlign w:val="bottom"/>
          </w:tcPr>
          <w:p>
            <w:pPr>
              <w:pStyle w:val="0"/>
              <w:jc w:val="center"/>
            </w:pPr>
            <w:r>
              <w:rPr>
                <w:sz w:val="24"/>
              </w:rPr>
              <w:t xml:space="preserve">20</w:t>
            </w:r>
          </w:p>
          <w:p>
            <w:pPr>
              <w:pStyle w:val="0"/>
              <w:jc w:val="center"/>
            </w:pPr>
            <w:r>
              <w:rPr>
                <w:sz w:val="24"/>
              </w:rPr>
              <w:t xml:space="preserve">(15)</w:t>
            </w:r>
          </w:p>
        </w:tc>
        <w:tc>
          <w:tcPr>
            <w:tcW w:w="1037" w:type="dxa"/>
            <w:vAlign w:val="bottom"/>
          </w:tcPr>
          <w:p>
            <w:pPr>
              <w:pStyle w:val="0"/>
              <w:jc w:val="center"/>
            </w:pPr>
            <w:r>
              <w:rPr>
                <w:sz w:val="24"/>
              </w:rPr>
              <w:t xml:space="preserve">20</w:t>
            </w:r>
          </w:p>
          <w:p>
            <w:pPr>
              <w:pStyle w:val="0"/>
              <w:jc w:val="center"/>
            </w:pPr>
            <w:r>
              <w:rPr>
                <w:sz w:val="24"/>
              </w:rPr>
              <w:t xml:space="preserve">(20)</w:t>
            </w:r>
          </w:p>
        </w:tc>
      </w:tr>
      <w:tr>
        <w:tc>
          <w:tcPr>
            <w:tcW w:w="2239" w:type="dxa"/>
          </w:tcPr>
          <w:p>
            <w:pPr>
              <w:pStyle w:val="0"/>
            </w:pPr>
            <w:r>
              <w:rPr>
                <w:sz w:val="24"/>
              </w:rPr>
              <w:t xml:space="preserve">Железные дороги общей сети (от подошвы насыпи), автомобильные дороги I - III категорий</w:t>
            </w:r>
          </w:p>
        </w:tc>
        <w:tc>
          <w:tcPr>
            <w:tcW w:w="694" w:type="dxa"/>
            <w:vAlign w:val="bottom"/>
          </w:tcPr>
          <w:p>
            <w:pPr>
              <w:pStyle w:val="0"/>
              <w:jc w:val="center"/>
            </w:pPr>
            <w:r>
              <w:rPr>
                <w:sz w:val="24"/>
              </w:rPr>
              <w:t xml:space="preserve">50</w:t>
            </w:r>
          </w:p>
        </w:tc>
        <w:tc>
          <w:tcPr>
            <w:tcW w:w="694" w:type="dxa"/>
            <w:vAlign w:val="bottom"/>
          </w:tcPr>
          <w:p>
            <w:pPr>
              <w:pStyle w:val="0"/>
              <w:jc w:val="center"/>
            </w:pPr>
            <w:r>
              <w:rPr>
                <w:sz w:val="24"/>
              </w:rPr>
              <w:t xml:space="preserve">75</w:t>
            </w:r>
          </w:p>
        </w:tc>
        <w:tc>
          <w:tcPr>
            <w:tcW w:w="769" w:type="dxa"/>
            <w:vAlign w:val="bottom"/>
          </w:tcPr>
          <w:p>
            <w:pPr>
              <w:pStyle w:val="0"/>
              <w:jc w:val="center"/>
            </w:pPr>
            <w:r>
              <w:rPr>
                <w:sz w:val="24"/>
              </w:rPr>
              <w:t xml:space="preserve">100-</w:t>
            </w:r>
          </w:p>
        </w:tc>
        <w:tc>
          <w:tcPr>
            <w:tcW w:w="514" w:type="dxa"/>
            <w:vAlign w:val="bottom"/>
          </w:tcPr>
          <w:p>
            <w:pPr>
              <w:pStyle w:val="0"/>
              <w:jc w:val="center"/>
            </w:pPr>
            <w:r>
              <w:rPr>
                <w:sz w:val="24"/>
              </w:rPr>
              <w:t xml:space="preserve">100</w:t>
            </w:r>
          </w:p>
        </w:tc>
        <w:tc>
          <w:tcPr>
            <w:tcW w:w="694" w:type="dxa"/>
            <w:vAlign w:val="bottom"/>
          </w:tcPr>
          <w:p>
            <w:pPr>
              <w:pStyle w:val="0"/>
              <w:jc w:val="center"/>
            </w:pPr>
            <w:r>
              <w:rPr>
                <w:sz w:val="24"/>
              </w:rPr>
              <w:t xml:space="preserve">100</w:t>
            </w:r>
          </w:p>
        </w:tc>
        <w:tc>
          <w:tcPr>
            <w:tcW w:w="694" w:type="dxa"/>
            <w:vAlign w:val="bottom"/>
          </w:tcPr>
          <w:p>
            <w:pPr>
              <w:pStyle w:val="0"/>
              <w:jc w:val="center"/>
            </w:pPr>
            <w:r>
              <w:rPr>
                <w:sz w:val="24"/>
              </w:rPr>
              <w:t xml:space="preserve">50</w:t>
            </w:r>
          </w:p>
        </w:tc>
        <w:tc>
          <w:tcPr>
            <w:tcW w:w="694" w:type="dxa"/>
            <w:vAlign w:val="bottom"/>
          </w:tcPr>
          <w:p>
            <w:pPr>
              <w:pStyle w:val="0"/>
              <w:jc w:val="center"/>
            </w:pPr>
            <w:r>
              <w:rPr>
                <w:sz w:val="24"/>
              </w:rPr>
              <w:t xml:space="preserve">75-</w:t>
            </w:r>
          </w:p>
        </w:tc>
        <w:tc>
          <w:tcPr>
            <w:tcW w:w="514" w:type="dxa"/>
            <w:vAlign w:val="bottom"/>
          </w:tcPr>
          <w:p>
            <w:pPr>
              <w:pStyle w:val="0"/>
              <w:jc w:val="center"/>
            </w:pPr>
            <w:r>
              <w:rPr>
                <w:sz w:val="24"/>
              </w:rPr>
              <w:t xml:space="preserve">75</w:t>
            </w:r>
          </w:p>
        </w:tc>
        <w:tc>
          <w:tcPr>
            <w:tcW w:w="694" w:type="dxa"/>
            <w:vAlign w:val="bottom"/>
          </w:tcPr>
          <w:p>
            <w:pPr>
              <w:pStyle w:val="0"/>
              <w:jc w:val="center"/>
            </w:pPr>
            <w:r>
              <w:rPr>
                <w:sz w:val="24"/>
              </w:rPr>
              <w:t xml:space="preserve">75</w:t>
            </w:r>
          </w:p>
        </w:tc>
        <w:tc>
          <w:tcPr>
            <w:tcW w:w="2074" w:type="dxa"/>
            <w:vAlign w:val="bottom"/>
          </w:tcPr>
          <w:p>
            <w:pPr>
              <w:pStyle w:val="0"/>
              <w:jc w:val="center"/>
            </w:pPr>
            <w:r>
              <w:rPr>
                <w:sz w:val="24"/>
              </w:rPr>
              <w:t xml:space="preserve">50</w:t>
            </w:r>
          </w:p>
        </w:tc>
        <w:tc>
          <w:tcPr>
            <w:tcW w:w="1037" w:type="dxa"/>
            <w:vAlign w:val="bottom"/>
          </w:tcPr>
          <w:p>
            <w:pPr>
              <w:pStyle w:val="0"/>
              <w:jc w:val="center"/>
            </w:pPr>
            <w:r>
              <w:rPr>
                <w:sz w:val="24"/>
              </w:rPr>
              <w:t xml:space="preserve">50</w:t>
            </w:r>
          </w:p>
        </w:tc>
        <w:tc>
          <w:tcPr>
            <w:tcW w:w="1037" w:type="dxa"/>
            <w:vAlign w:val="bottom"/>
          </w:tcPr>
          <w:p>
            <w:pPr>
              <w:pStyle w:val="0"/>
              <w:jc w:val="center"/>
            </w:pPr>
            <w:r>
              <w:rPr>
                <w:sz w:val="24"/>
              </w:rPr>
              <w:t xml:space="preserve">50</w:t>
            </w:r>
          </w:p>
        </w:tc>
      </w:tr>
      <w:tr>
        <w:tc>
          <w:tcPr>
            <w:tcW w:w="2239" w:type="dxa"/>
          </w:tcPr>
          <w:p>
            <w:pPr>
              <w:pStyle w:val="0"/>
            </w:pPr>
            <w:r>
              <w:rPr>
                <w:sz w:val="24"/>
              </w:rPr>
              <w:t xml:space="preserve">Подъездные пути железных дорог, дорог организаций, трамвайные пути, автомобильные дороги IV и V категорий</w:t>
            </w:r>
          </w:p>
        </w:tc>
        <w:tc>
          <w:tcPr>
            <w:tcW w:w="694" w:type="dxa"/>
            <w:vAlign w:val="bottom"/>
          </w:tcPr>
          <w:p>
            <w:pPr>
              <w:pStyle w:val="0"/>
              <w:jc w:val="center"/>
            </w:pPr>
            <w:r>
              <w:rPr>
                <w:sz w:val="24"/>
              </w:rPr>
              <w:t xml:space="preserve">30</w:t>
            </w:r>
          </w:p>
          <w:p>
            <w:pPr>
              <w:pStyle w:val="0"/>
              <w:jc w:val="center"/>
            </w:pPr>
            <w:r>
              <w:rPr>
                <w:sz w:val="24"/>
              </w:rPr>
              <w:t xml:space="preserve">(20)</w:t>
            </w:r>
          </w:p>
        </w:tc>
        <w:tc>
          <w:tcPr>
            <w:tcW w:w="694" w:type="dxa"/>
            <w:vAlign w:val="bottom"/>
          </w:tcPr>
          <w:p>
            <w:pPr>
              <w:pStyle w:val="0"/>
              <w:jc w:val="center"/>
            </w:pPr>
            <w:r>
              <w:rPr>
                <w:sz w:val="24"/>
              </w:rPr>
              <w:t xml:space="preserve">30-</w:t>
            </w:r>
          </w:p>
          <w:p>
            <w:pPr>
              <w:pStyle w:val="0"/>
              <w:jc w:val="center"/>
            </w:pPr>
            <w:r>
              <w:rPr>
                <w:sz w:val="24"/>
              </w:rPr>
              <w:t xml:space="preserve">(20)</w:t>
            </w:r>
          </w:p>
        </w:tc>
        <w:tc>
          <w:tcPr>
            <w:tcW w:w="769" w:type="dxa"/>
            <w:vAlign w:val="bottom"/>
          </w:tcPr>
          <w:p>
            <w:pPr>
              <w:pStyle w:val="0"/>
              <w:jc w:val="center"/>
            </w:pPr>
            <w:r>
              <w:rPr>
                <w:sz w:val="24"/>
              </w:rPr>
              <w:t xml:space="preserve">40-</w:t>
            </w:r>
          </w:p>
          <w:p>
            <w:pPr>
              <w:pStyle w:val="0"/>
              <w:jc w:val="center"/>
            </w:pPr>
            <w:r>
              <w:rPr>
                <w:sz w:val="24"/>
              </w:rPr>
              <w:t xml:space="preserve">(30)</w:t>
            </w:r>
          </w:p>
        </w:tc>
        <w:tc>
          <w:tcPr>
            <w:tcW w:w="514" w:type="dxa"/>
            <w:vAlign w:val="bottom"/>
          </w:tcPr>
          <w:p>
            <w:pPr>
              <w:pStyle w:val="0"/>
              <w:jc w:val="center"/>
            </w:pPr>
            <w:r>
              <w:rPr>
                <w:sz w:val="24"/>
              </w:rPr>
              <w:t xml:space="preserve">40</w:t>
            </w:r>
          </w:p>
          <w:p>
            <w:pPr>
              <w:pStyle w:val="0"/>
              <w:jc w:val="center"/>
            </w:pPr>
            <w:r>
              <w:rPr>
                <w:sz w:val="24"/>
              </w:rPr>
              <w:t xml:space="preserve">(30)</w:t>
            </w:r>
          </w:p>
        </w:tc>
        <w:tc>
          <w:tcPr>
            <w:tcW w:w="694" w:type="dxa"/>
            <w:vAlign w:val="bottom"/>
          </w:tcPr>
          <w:p>
            <w:pPr>
              <w:pStyle w:val="0"/>
              <w:jc w:val="center"/>
            </w:pPr>
            <w:r>
              <w:rPr>
                <w:sz w:val="24"/>
              </w:rPr>
              <w:t xml:space="preserve">40</w:t>
            </w:r>
          </w:p>
          <w:p>
            <w:pPr>
              <w:pStyle w:val="0"/>
              <w:jc w:val="center"/>
            </w:pPr>
            <w:r>
              <w:rPr>
                <w:sz w:val="24"/>
              </w:rPr>
              <w:t xml:space="preserve">(30)</w:t>
            </w:r>
          </w:p>
        </w:tc>
        <w:tc>
          <w:tcPr>
            <w:tcW w:w="694" w:type="dxa"/>
            <w:vAlign w:val="bottom"/>
          </w:tcPr>
          <w:p>
            <w:pPr>
              <w:pStyle w:val="0"/>
              <w:jc w:val="center"/>
            </w:pPr>
            <w:r>
              <w:rPr>
                <w:sz w:val="24"/>
              </w:rPr>
              <w:t xml:space="preserve">20-</w:t>
            </w:r>
          </w:p>
          <w:p>
            <w:pPr>
              <w:pStyle w:val="0"/>
              <w:jc w:val="center"/>
            </w:pPr>
            <w:r>
              <w:rPr>
                <w:sz w:val="24"/>
              </w:rPr>
              <w:t xml:space="preserve">(15)-</w:t>
            </w:r>
          </w:p>
        </w:tc>
        <w:tc>
          <w:tcPr>
            <w:tcW w:w="694" w:type="dxa"/>
            <w:vAlign w:val="bottom"/>
          </w:tcPr>
          <w:p>
            <w:pPr>
              <w:pStyle w:val="0"/>
              <w:jc w:val="center"/>
            </w:pPr>
            <w:r>
              <w:rPr>
                <w:sz w:val="24"/>
              </w:rPr>
              <w:t xml:space="preserve">25-</w:t>
            </w:r>
          </w:p>
          <w:p>
            <w:pPr>
              <w:pStyle w:val="0"/>
              <w:jc w:val="center"/>
            </w:pPr>
            <w:r>
              <w:rPr>
                <w:sz w:val="24"/>
              </w:rPr>
              <w:t xml:space="preserve">(15)-</w:t>
            </w:r>
          </w:p>
        </w:tc>
        <w:tc>
          <w:tcPr>
            <w:tcW w:w="514" w:type="dxa"/>
            <w:vAlign w:val="bottom"/>
          </w:tcPr>
          <w:p>
            <w:pPr>
              <w:pStyle w:val="0"/>
              <w:jc w:val="center"/>
            </w:pPr>
            <w:r>
              <w:rPr>
                <w:sz w:val="24"/>
              </w:rPr>
              <w:t xml:space="preserve">25</w:t>
            </w:r>
          </w:p>
          <w:p>
            <w:pPr>
              <w:pStyle w:val="0"/>
              <w:jc w:val="center"/>
            </w:pPr>
            <w:r>
              <w:rPr>
                <w:sz w:val="24"/>
              </w:rPr>
              <w:t xml:space="preserve">(15)</w:t>
            </w:r>
          </w:p>
        </w:tc>
        <w:tc>
          <w:tcPr>
            <w:tcW w:w="694" w:type="dxa"/>
            <w:vAlign w:val="bottom"/>
          </w:tcPr>
          <w:p>
            <w:pPr>
              <w:pStyle w:val="0"/>
              <w:jc w:val="center"/>
            </w:pPr>
            <w:r>
              <w:rPr>
                <w:sz w:val="24"/>
              </w:rPr>
              <w:t xml:space="preserve">25</w:t>
            </w:r>
          </w:p>
          <w:p>
            <w:pPr>
              <w:pStyle w:val="0"/>
              <w:jc w:val="center"/>
            </w:pPr>
            <w:r>
              <w:rPr>
                <w:sz w:val="24"/>
              </w:rPr>
              <w:t xml:space="preserve">(15)</w:t>
            </w:r>
          </w:p>
        </w:tc>
        <w:tc>
          <w:tcPr>
            <w:tcW w:w="2074" w:type="dxa"/>
            <w:vAlign w:val="bottom"/>
          </w:tcPr>
          <w:p>
            <w:pPr>
              <w:pStyle w:val="0"/>
              <w:jc w:val="center"/>
            </w:pPr>
            <w:r>
              <w:rPr>
                <w:sz w:val="24"/>
              </w:rPr>
              <w:t xml:space="preserve">30</w:t>
            </w:r>
          </w:p>
        </w:tc>
        <w:tc>
          <w:tcPr>
            <w:tcW w:w="1037" w:type="dxa"/>
            <w:vAlign w:val="bottom"/>
          </w:tcPr>
          <w:p>
            <w:pPr>
              <w:pStyle w:val="0"/>
              <w:jc w:val="center"/>
            </w:pPr>
            <w:r>
              <w:rPr>
                <w:sz w:val="24"/>
              </w:rPr>
              <w:t xml:space="preserve">20</w:t>
            </w:r>
          </w:p>
          <w:p>
            <w:pPr>
              <w:pStyle w:val="0"/>
              <w:jc w:val="center"/>
            </w:pPr>
            <w:r>
              <w:rPr>
                <w:sz w:val="24"/>
              </w:rPr>
              <w:t xml:space="preserve">(20)</w:t>
            </w:r>
          </w:p>
        </w:tc>
        <w:tc>
          <w:tcPr>
            <w:tcW w:w="1037" w:type="dxa"/>
            <w:vAlign w:val="bottom"/>
          </w:tcPr>
          <w:p>
            <w:pPr>
              <w:pStyle w:val="0"/>
              <w:jc w:val="center"/>
            </w:pPr>
            <w:r>
              <w:rPr>
                <w:sz w:val="24"/>
              </w:rPr>
              <w:t xml:space="preserve">20</w:t>
            </w:r>
          </w:p>
          <w:p>
            <w:pPr>
              <w:pStyle w:val="0"/>
              <w:jc w:val="center"/>
            </w:pPr>
            <w:r>
              <w:rPr>
                <w:sz w:val="24"/>
              </w:rPr>
              <w:t xml:space="preserve">(20)</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Примечания: 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spacing w:before="240" w:line-rule="auto"/>
        <w:ind w:firstLine="540"/>
        <w:jc w:val="both"/>
      </w:pPr>
      <w:r>
        <w:rPr>
          <w:sz w:val="24"/>
        </w:rPr>
        <w:t xml:space="preserve">2. Знак "-" обозначает, что допускается уменьшать расстояния от резервуаров газонаполнительных станций общей вместимостью не более 200 кубических метров в надземном исполнении до 70 метров, в подземном - до 35 метров, а при вместимости не более 300 кубических метров - соответственно до 90 и 45 метров.</w:t>
      </w:r>
    </w:p>
    <w:p>
      <w:pPr>
        <w:pStyle w:val="0"/>
        <w:spacing w:before="240" w:line-rule="auto"/>
        <w:ind w:firstLine="540"/>
        <w:jc w:val="both"/>
      </w:pPr>
      <w:r>
        <w:rPr>
          <w:sz w:val="24"/>
        </w:rPr>
        <w:t xml:space="preserve">3. Знак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кубических метров в надземном исполнении до 75 метров и в подземном исполнении до 50 метров.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кубических метров допускается уменьшать: в надземном исполнении до 20 метров и в подземном исполнении до 15 метров, а при прохождении путей и дорог по территории организации эти расстояния сокращаются до 10 метров при подземном исполнении резервуаров.</w:t>
      </w:r>
    </w:p>
    <w:p>
      <w:pPr>
        <w:pStyle w:val="0"/>
        <w:ind w:firstLine="540"/>
        <w:jc w:val="both"/>
      </w:pPr>
      <w:r>
        <w:rPr>
          <w:sz w:val="24"/>
        </w:rPr>
      </w:r>
    </w:p>
    <w:p>
      <w:pPr>
        <w:pStyle w:val="0"/>
        <w:outlineLvl w:val="1"/>
        <w:jc w:val="center"/>
      </w:pPr>
      <w:r>
        <w:rPr>
          <w:sz w:val="24"/>
        </w:rPr>
        <w:t xml:space="preserve">Таблица 21</w:t>
      </w:r>
    </w:p>
    <w:p>
      <w:pPr>
        <w:pStyle w:val="0"/>
        <w:jc w:val="right"/>
      </w:pPr>
      <w:r>
        <w:rPr>
          <w:sz w:val="24"/>
        </w:rPr>
      </w:r>
    </w:p>
    <w:bookmarkStart w:id="2948" w:name="P2948"/>
    <w:bookmarkEnd w:id="2948"/>
    <w:p>
      <w:pPr>
        <w:pStyle w:val="2"/>
        <w:jc w:val="center"/>
      </w:pPr>
      <w:r>
        <w:rPr>
          <w:sz w:val="24"/>
        </w:rPr>
        <w:t xml:space="preserve">Соответствие степени огнестойкости и предела огнестойкости</w:t>
      </w:r>
    </w:p>
    <w:p>
      <w:pPr>
        <w:pStyle w:val="2"/>
        <w:jc w:val="center"/>
      </w:pPr>
      <w:r>
        <w:rPr>
          <w:sz w:val="24"/>
        </w:rPr>
        <w:t xml:space="preserve">строительных конструкций зданий, сооружений</w:t>
      </w:r>
    </w:p>
    <w:p>
      <w:pPr>
        <w:pStyle w:val="2"/>
        <w:jc w:val="center"/>
      </w:pPr>
      <w:r>
        <w:rPr>
          <w:sz w:val="24"/>
        </w:rPr>
        <w:t xml:space="preserve">и пожарных отсеков</w:t>
      </w:r>
    </w:p>
    <w:p>
      <w:pPr>
        <w:pStyle w:val="0"/>
        <w:jc w:val="center"/>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792"/>
        <w:gridCol w:w="1792"/>
        <w:gridCol w:w="2056"/>
        <w:gridCol w:w="1852"/>
        <w:gridCol w:w="1792"/>
        <w:gridCol w:w="1792"/>
        <w:gridCol w:w="1792"/>
      </w:tblGrid>
      <w:tr>
        <w:tc>
          <w:tcPr>
            <w:tcW w:w="1984" w:type="dxa"/>
            <w:vMerge w:val="restart"/>
          </w:tcPr>
          <w:p>
            <w:pPr>
              <w:pStyle w:val="0"/>
              <w:jc w:val="center"/>
            </w:pPr>
            <w:r>
              <w:rPr>
                <w:sz w:val="24"/>
              </w:rPr>
              <w:t xml:space="preserve">Степень огнестойкости зданий, сооружений и пожарных отсеков</w:t>
            </w:r>
          </w:p>
        </w:tc>
        <w:tc>
          <w:tcPr>
            <w:gridSpan w:val="7"/>
            <w:tcW w:w="12868" w:type="dxa"/>
          </w:tcPr>
          <w:p>
            <w:pPr>
              <w:pStyle w:val="0"/>
              <w:jc w:val="center"/>
            </w:pPr>
            <w:r>
              <w:rPr>
                <w:sz w:val="24"/>
              </w:rPr>
              <w:t xml:space="preserve">Предел огнестойкости строительных конструкций</w:t>
            </w:r>
          </w:p>
        </w:tc>
      </w:tr>
      <w:tr>
        <w:tc>
          <w:tcPr>
            <w:vMerge w:val="continue"/>
          </w:tcPr>
          <w:p/>
        </w:tc>
        <w:tc>
          <w:tcPr>
            <w:tcW w:w="1792" w:type="dxa"/>
            <w:vMerge w:val="restart"/>
          </w:tcPr>
          <w:p>
            <w:pPr>
              <w:pStyle w:val="0"/>
              <w:jc w:val="center"/>
            </w:pPr>
            <w:r>
              <w:rPr>
                <w:sz w:val="24"/>
              </w:rPr>
              <w:t xml:space="preserve">Несущие стены, колонны и другие несущие элементы</w:t>
            </w:r>
          </w:p>
        </w:tc>
        <w:tc>
          <w:tcPr>
            <w:tcW w:w="1792" w:type="dxa"/>
            <w:vMerge w:val="restart"/>
          </w:tcPr>
          <w:p>
            <w:pPr>
              <w:pStyle w:val="0"/>
              <w:jc w:val="center"/>
            </w:pPr>
            <w:r>
              <w:rPr>
                <w:sz w:val="24"/>
              </w:rPr>
              <w:t xml:space="preserve">Наружные ненесущие стены</w:t>
            </w:r>
          </w:p>
        </w:tc>
        <w:tc>
          <w:tcPr>
            <w:tcW w:w="2056" w:type="dxa"/>
            <w:vMerge w:val="restart"/>
          </w:tcPr>
          <w:p>
            <w:pPr>
              <w:pStyle w:val="0"/>
              <w:jc w:val="center"/>
            </w:pPr>
            <w:r>
              <w:rPr>
                <w:sz w:val="24"/>
              </w:rPr>
              <w:t xml:space="preserve">Перекрытия междуэтажные (в том числе чердачные и над подвалами)</w:t>
            </w:r>
          </w:p>
        </w:tc>
        <w:tc>
          <w:tcPr>
            <w:gridSpan w:val="2"/>
            <w:tcW w:w="3644" w:type="dxa"/>
          </w:tcPr>
          <w:p>
            <w:pPr>
              <w:pStyle w:val="0"/>
              <w:jc w:val="center"/>
            </w:pPr>
            <w:r>
              <w:rPr>
                <w:sz w:val="24"/>
              </w:rPr>
              <w:t xml:space="preserve">Строительные конструкции бесчердачных покрытий</w:t>
            </w:r>
          </w:p>
        </w:tc>
        <w:tc>
          <w:tcPr>
            <w:gridSpan w:val="2"/>
            <w:tcW w:w="3584" w:type="dxa"/>
          </w:tcPr>
          <w:p>
            <w:pPr>
              <w:pStyle w:val="0"/>
              <w:jc w:val="center"/>
            </w:pPr>
            <w:r>
              <w:rPr>
                <w:sz w:val="24"/>
              </w:rPr>
              <w:t xml:space="preserve">Строительные конструкции лестничных клеток</w:t>
            </w:r>
          </w:p>
        </w:tc>
      </w:tr>
      <w:tr>
        <w:tc>
          <w:tcPr>
            <w:vMerge w:val="continue"/>
          </w:tcPr>
          <w:p/>
        </w:tc>
        <w:tc>
          <w:tcPr>
            <w:vMerge w:val="continue"/>
          </w:tcPr>
          <w:p/>
        </w:tc>
        <w:tc>
          <w:tcPr>
            <w:vMerge w:val="continue"/>
          </w:tcPr>
          <w:p/>
        </w:tc>
        <w:tc>
          <w:tcPr>
            <w:vMerge w:val="continue"/>
          </w:tcPr>
          <w:p/>
        </w:tc>
        <w:tc>
          <w:tcPr>
            <w:tcW w:w="1852" w:type="dxa"/>
          </w:tcPr>
          <w:p>
            <w:pPr>
              <w:pStyle w:val="0"/>
              <w:jc w:val="center"/>
            </w:pPr>
            <w:r>
              <w:rPr>
                <w:sz w:val="24"/>
              </w:rPr>
              <w:t xml:space="preserve">настилы (в том числе с утеплителем)</w:t>
            </w:r>
          </w:p>
        </w:tc>
        <w:tc>
          <w:tcPr>
            <w:tcW w:w="1792" w:type="dxa"/>
          </w:tcPr>
          <w:p>
            <w:pPr>
              <w:pStyle w:val="0"/>
              <w:jc w:val="center"/>
            </w:pPr>
            <w:r>
              <w:rPr>
                <w:sz w:val="24"/>
              </w:rPr>
              <w:t xml:space="preserve">фермы, балки, прогоны</w:t>
            </w:r>
          </w:p>
        </w:tc>
        <w:tc>
          <w:tcPr>
            <w:tcW w:w="1792" w:type="dxa"/>
          </w:tcPr>
          <w:p>
            <w:pPr>
              <w:pStyle w:val="0"/>
              <w:jc w:val="center"/>
            </w:pPr>
            <w:r>
              <w:rPr>
                <w:sz w:val="24"/>
              </w:rPr>
              <w:t xml:space="preserve">внутренние стены</w:t>
            </w:r>
          </w:p>
        </w:tc>
        <w:tc>
          <w:tcPr>
            <w:tcW w:w="1792" w:type="dxa"/>
          </w:tcPr>
          <w:p>
            <w:pPr>
              <w:pStyle w:val="0"/>
              <w:jc w:val="center"/>
            </w:pPr>
            <w:r>
              <w:rPr>
                <w:sz w:val="24"/>
              </w:rPr>
              <w:t xml:space="preserve">марши и площадки лестниц</w:t>
            </w:r>
          </w:p>
        </w:tc>
      </w:tr>
      <w:tr>
        <w:tc>
          <w:tcPr>
            <w:tcW w:w="1984" w:type="dxa"/>
          </w:tcPr>
          <w:p>
            <w:pPr>
              <w:pStyle w:val="0"/>
              <w:jc w:val="center"/>
            </w:pPr>
            <w:r>
              <w:rPr>
                <w:sz w:val="24"/>
              </w:rPr>
              <w:t xml:space="preserve">I</w:t>
            </w:r>
          </w:p>
        </w:tc>
        <w:tc>
          <w:tcPr>
            <w:tcW w:w="1792" w:type="dxa"/>
          </w:tcPr>
          <w:p>
            <w:pPr>
              <w:pStyle w:val="0"/>
              <w:jc w:val="center"/>
            </w:pPr>
            <w:r>
              <w:rPr>
                <w:sz w:val="24"/>
              </w:rPr>
              <w:t xml:space="preserve">R 120</w:t>
            </w:r>
          </w:p>
        </w:tc>
        <w:tc>
          <w:tcPr>
            <w:tcW w:w="1792" w:type="dxa"/>
          </w:tcPr>
          <w:p>
            <w:pPr>
              <w:pStyle w:val="0"/>
              <w:jc w:val="center"/>
            </w:pPr>
            <w:r>
              <w:rPr>
                <w:sz w:val="24"/>
              </w:rPr>
              <w:t xml:space="preserve">E 30</w:t>
            </w:r>
          </w:p>
        </w:tc>
        <w:tc>
          <w:tcPr>
            <w:tcW w:w="2056" w:type="dxa"/>
          </w:tcPr>
          <w:p>
            <w:pPr>
              <w:pStyle w:val="0"/>
              <w:jc w:val="center"/>
            </w:pPr>
            <w:r>
              <w:rPr>
                <w:sz w:val="24"/>
              </w:rPr>
              <w:t xml:space="preserve">REI 60</w:t>
            </w:r>
          </w:p>
        </w:tc>
        <w:tc>
          <w:tcPr>
            <w:tcW w:w="1852" w:type="dxa"/>
          </w:tcPr>
          <w:p>
            <w:pPr>
              <w:pStyle w:val="0"/>
              <w:jc w:val="center"/>
            </w:pPr>
            <w:r>
              <w:rPr>
                <w:sz w:val="24"/>
              </w:rPr>
              <w:t xml:space="preserve">RE 30</w:t>
            </w:r>
          </w:p>
        </w:tc>
        <w:tc>
          <w:tcPr>
            <w:tcW w:w="1792" w:type="dxa"/>
          </w:tcPr>
          <w:p>
            <w:pPr>
              <w:pStyle w:val="0"/>
              <w:jc w:val="center"/>
            </w:pPr>
            <w:r>
              <w:rPr>
                <w:sz w:val="24"/>
              </w:rPr>
              <w:t xml:space="preserve">R 30</w:t>
            </w:r>
          </w:p>
        </w:tc>
        <w:tc>
          <w:tcPr>
            <w:tcW w:w="1792" w:type="dxa"/>
          </w:tcPr>
          <w:p>
            <w:pPr>
              <w:pStyle w:val="0"/>
              <w:jc w:val="center"/>
            </w:pPr>
            <w:r>
              <w:rPr>
                <w:sz w:val="24"/>
              </w:rPr>
              <w:t xml:space="preserve">REI 120</w:t>
            </w:r>
          </w:p>
        </w:tc>
        <w:tc>
          <w:tcPr>
            <w:tcW w:w="1792" w:type="dxa"/>
          </w:tcPr>
          <w:p>
            <w:pPr>
              <w:pStyle w:val="0"/>
              <w:jc w:val="center"/>
            </w:pPr>
            <w:r>
              <w:rPr>
                <w:sz w:val="24"/>
              </w:rPr>
              <w:t xml:space="preserve">R 60</w:t>
            </w:r>
          </w:p>
        </w:tc>
      </w:tr>
      <w:tr>
        <w:tc>
          <w:tcPr>
            <w:tcW w:w="1984" w:type="dxa"/>
          </w:tcPr>
          <w:p>
            <w:pPr>
              <w:pStyle w:val="0"/>
              <w:jc w:val="center"/>
            </w:pPr>
            <w:r>
              <w:rPr>
                <w:sz w:val="24"/>
              </w:rPr>
              <w:t xml:space="preserve">II</w:t>
            </w:r>
          </w:p>
        </w:tc>
        <w:tc>
          <w:tcPr>
            <w:tcW w:w="1792" w:type="dxa"/>
          </w:tcPr>
          <w:p>
            <w:pPr>
              <w:pStyle w:val="0"/>
              <w:jc w:val="center"/>
            </w:pPr>
            <w:r>
              <w:rPr>
                <w:sz w:val="24"/>
              </w:rPr>
              <w:t xml:space="preserve">R 90</w:t>
            </w:r>
          </w:p>
        </w:tc>
        <w:tc>
          <w:tcPr>
            <w:tcW w:w="1792" w:type="dxa"/>
          </w:tcPr>
          <w:p>
            <w:pPr>
              <w:pStyle w:val="0"/>
              <w:jc w:val="center"/>
            </w:pPr>
            <w:r>
              <w:rPr>
                <w:sz w:val="24"/>
              </w:rPr>
              <w:t xml:space="preserve">E 15</w:t>
            </w:r>
          </w:p>
        </w:tc>
        <w:tc>
          <w:tcPr>
            <w:tcW w:w="2056" w:type="dxa"/>
          </w:tcPr>
          <w:p>
            <w:pPr>
              <w:pStyle w:val="0"/>
              <w:jc w:val="center"/>
            </w:pPr>
            <w:r>
              <w:rPr>
                <w:sz w:val="24"/>
              </w:rPr>
              <w:t xml:space="preserve">REI 45</w:t>
            </w:r>
          </w:p>
        </w:tc>
        <w:tc>
          <w:tcPr>
            <w:tcW w:w="1852" w:type="dxa"/>
          </w:tcPr>
          <w:p>
            <w:pPr>
              <w:pStyle w:val="0"/>
              <w:jc w:val="center"/>
            </w:pPr>
            <w:r>
              <w:rPr>
                <w:sz w:val="24"/>
              </w:rPr>
              <w:t xml:space="preserve">RE 15</w:t>
            </w:r>
          </w:p>
        </w:tc>
        <w:tc>
          <w:tcPr>
            <w:tcW w:w="1792" w:type="dxa"/>
          </w:tcPr>
          <w:p>
            <w:pPr>
              <w:pStyle w:val="0"/>
              <w:jc w:val="center"/>
            </w:pPr>
            <w:r>
              <w:rPr>
                <w:sz w:val="24"/>
              </w:rPr>
              <w:t xml:space="preserve">R 15</w:t>
            </w:r>
          </w:p>
        </w:tc>
        <w:tc>
          <w:tcPr>
            <w:tcW w:w="1792" w:type="dxa"/>
          </w:tcPr>
          <w:p>
            <w:pPr>
              <w:pStyle w:val="0"/>
              <w:jc w:val="center"/>
            </w:pPr>
            <w:r>
              <w:rPr>
                <w:sz w:val="24"/>
              </w:rPr>
              <w:t xml:space="preserve">REI 90</w:t>
            </w:r>
          </w:p>
        </w:tc>
        <w:tc>
          <w:tcPr>
            <w:tcW w:w="1792" w:type="dxa"/>
          </w:tcPr>
          <w:p>
            <w:pPr>
              <w:pStyle w:val="0"/>
              <w:jc w:val="center"/>
            </w:pPr>
            <w:r>
              <w:rPr>
                <w:sz w:val="24"/>
              </w:rPr>
              <w:t xml:space="preserve">R 60</w:t>
            </w:r>
          </w:p>
        </w:tc>
      </w:tr>
      <w:tr>
        <w:tc>
          <w:tcPr>
            <w:tcW w:w="1984" w:type="dxa"/>
          </w:tcPr>
          <w:p>
            <w:pPr>
              <w:pStyle w:val="0"/>
              <w:jc w:val="center"/>
            </w:pPr>
            <w:r>
              <w:rPr>
                <w:sz w:val="24"/>
              </w:rPr>
              <w:t xml:space="preserve">III</w:t>
            </w:r>
          </w:p>
        </w:tc>
        <w:tc>
          <w:tcPr>
            <w:tcW w:w="1792" w:type="dxa"/>
          </w:tcPr>
          <w:p>
            <w:pPr>
              <w:pStyle w:val="0"/>
              <w:jc w:val="center"/>
            </w:pPr>
            <w:r>
              <w:rPr>
                <w:sz w:val="24"/>
              </w:rPr>
              <w:t xml:space="preserve">R 45</w:t>
            </w:r>
          </w:p>
        </w:tc>
        <w:tc>
          <w:tcPr>
            <w:tcW w:w="1792" w:type="dxa"/>
          </w:tcPr>
          <w:p>
            <w:pPr>
              <w:pStyle w:val="0"/>
              <w:jc w:val="center"/>
            </w:pPr>
            <w:r>
              <w:rPr>
                <w:sz w:val="24"/>
              </w:rPr>
              <w:t xml:space="preserve">E 15</w:t>
            </w:r>
          </w:p>
        </w:tc>
        <w:tc>
          <w:tcPr>
            <w:tcW w:w="2056" w:type="dxa"/>
          </w:tcPr>
          <w:p>
            <w:pPr>
              <w:pStyle w:val="0"/>
              <w:jc w:val="center"/>
            </w:pPr>
            <w:r>
              <w:rPr>
                <w:sz w:val="24"/>
              </w:rPr>
              <w:t xml:space="preserve">REI 45</w:t>
            </w:r>
          </w:p>
        </w:tc>
        <w:tc>
          <w:tcPr>
            <w:tcW w:w="1852" w:type="dxa"/>
          </w:tcPr>
          <w:p>
            <w:pPr>
              <w:pStyle w:val="0"/>
              <w:jc w:val="center"/>
            </w:pPr>
            <w:r>
              <w:rPr>
                <w:sz w:val="24"/>
              </w:rPr>
              <w:t xml:space="preserve">RE 15</w:t>
            </w:r>
          </w:p>
        </w:tc>
        <w:tc>
          <w:tcPr>
            <w:tcW w:w="1792" w:type="dxa"/>
          </w:tcPr>
          <w:p>
            <w:pPr>
              <w:pStyle w:val="0"/>
              <w:jc w:val="center"/>
            </w:pPr>
            <w:r>
              <w:rPr>
                <w:sz w:val="24"/>
              </w:rPr>
              <w:t xml:space="preserve">R 15</w:t>
            </w:r>
          </w:p>
        </w:tc>
        <w:tc>
          <w:tcPr>
            <w:tcW w:w="1792" w:type="dxa"/>
          </w:tcPr>
          <w:p>
            <w:pPr>
              <w:pStyle w:val="0"/>
              <w:jc w:val="center"/>
            </w:pPr>
            <w:r>
              <w:rPr>
                <w:sz w:val="24"/>
              </w:rPr>
              <w:t xml:space="preserve">REI 60</w:t>
            </w:r>
          </w:p>
        </w:tc>
        <w:tc>
          <w:tcPr>
            <w:tcW w:w="1792" w:type="dxa"/>
          </w:tcPr>
          <w:p>
            <w:pPr>
              <w:pStyle w:val="0"/>
              <w:jc w:val="center"/>
            </w:pPr>
            <w:r>
              <w:rPr>
                <w:sz w:val="24"/>
              </w:rPr>
              <w:t xml:space="preserve">R 45</w:t>
            </w:r>
          </w:p>
        </w:tc>
      </w:tr>
      <w:tr>
        <w:tc>
          <w:tcPr>
            <w:tcW w:w="1984" w:type="dxa"/>
          </w:tcPr>
          <w:p>
            <w:pPr>
              <w:pStyle w:val="0"/>
              <w:jc w:val="center"/>
            </w:pPr>
            <w:r>
              <w:rPr>
                <w:sz w:val="24"/>
              </w:rPr>
              <w:t xml:space="preserve">IV</w:t>
            </w:r>
          </w:p>
        </w:tc>
        <w:tc>
          <w:tcPr>
            <w:tcW w:w="1792" w:type="dxa"/>
          </w:tcPr>
          <w:p>
            <w:pPr>
              <w:pStyle w:val="0"/>
              <w:jc w:val="center"/>
            </w:pPr>
            <w:r>
              <w:rPr>
                <w:sz w:val="24"/>
              </w:rPr>
              <w:t xml:space="preserve">R 15</w:t>
            </w:r>
          </w:p>
        </w:tc>
        <w:tc>
          <w:tcPr>
            <w:tcW w:w="1792" w:type="dxa"/>
          </w:tcPr>
          <w:p>
            <w:pPr>
              <w:pStyle w:val="0"/>
              <w:jc w:val="center"/>
            </w:pPr>
            <w:r>
              <w:rPr>
                <w:sz w:val="24"/>
              </w:rPr>
              <w:t xml:space="preserve">E 15</w:t>
            </w:r>
          </w:p>
        </w:tc>
        <w:tc>
          <w:tcPr>
            <w:tcW w:w="2056" w:type="dxa"/>
          </w:tcPr>
          <w:p>
            <w:pPr>
              <w:pStyle w:val="0"/>
              <w:jc w:val="center"/>
            </w:pPr>
            <w:r>
              <w:rPr>
                <w:sz w:val="24"/>
              </w:rPr>
              <w:t xml:space="preserve">REI 15</w:t>
            </w:r>
          </w:p>
        </w:tc>
        <w:tc>
          <w:tcPr>
            <w:tcW w:w="1852" w:type="dxa"/>
          </w:tcPr>
          <w:p>
            <w:pPr>
              <w:pStyle w:val="0"/>
              <w:jc w:val="center"/>
            </w:pPr>
            <w:r>
              <w:rPr>
                <w:sz w:val="24"/>
              </w:rPr>
              <w:t xml:space="preserve">RE 15</w:t>
            </w:r>
          </w:p>
        </w:tc>
        <w:tc>
          <w:tcPr>
            <w:tcW w:w="1792" w:type="dxa"/>
          </w:tcPr>
          <w:p>
            <w:pPr>
              <w:pStyle w:val="0"/>
              <w:jc w:val="center"/>
            </w:pPr>
            <w:r>
              <w:rPr>
                <w:sz w:val="24"/>
              </w:rPr>
              <w:t xml:space="preserve">R 15</w:t>
            </w:r>
          </w:p>
        </w:tc>
        <w:tc>
          <w:tcPr>
            <w:tcW w:w="1792" w:type="dxa"/>
          </w:tcPr>
          <w:p>
            <w:pPr>
              <w:pStyle w:val="0"/>
              <w:jc w:val="center"/>
            </w:pPr>
            <w:r>
              <w:rPr>
                <w:sz w:val="24"/>
              </w:rPr>
              <w:t xml:space="preserve">REI 45</w:t>
            </w:r>
          </w:p>
        </w:tc>
        <w:tc>
          <w:tcPr>
            <w:tcW w:w="1792" w:type="dxa"/>
          </w:tcPr>
          <w:p>
            <w:pPr>
              <w:pStyle w:val="0"/>
              <w:jc w:val="center"/>
            </w:pPr>
            <w:r>
              <w:rPr>
                <w:sz w:val="24"/>
              </w:rPr>
              <w:t xml:space="preserve">R 15</w:t>
            </w:r>
          </w:p>
        </w:tc>
      </w:tr>
      <w:tr>
        <w:tc>
          <w:tcPr>
            <w:tcW w:w="1984" w:type="dxa"/>
          </w:tcPr>
          <w:p>
            <w:pPr>
              <w:pStyle w:val="0"/>
              <w:jc w:val="center"/>
            </w:pPr>
            <w:r>
              <w:rPr>
                <w:sz w:val="24"/>
              </w:rPr>
              <w:t xml:space="preserve">V</w:t>
            </w:r>
          </w:p>
        </w:tc>
        <w:tc>
          <w:tcPr>
            <w:tcW w:w="1792" w:type="dxa"/>
          </w:tcPr>
          <w:p>
            <w:pPr>
              <w:pStyle w:val="0"/>
              <w:jc w:val="center"/>
            </w:pPr>
            <w:r>
              <w:rPr>
                <w:sz w:val="24"/>
              </w:rPr>
              <w:t xml:space="preserve">не нормируется</w:t>
            </w:r>
          </w:p>
        </w:tc>
        <w:tc>
          <w:tcPr>
            <w:tcW w:w="1792" w:type="dxa"/>
          </w:tcPr>
          <w:p>
            <w:pPr>
              <w:pStyle w:val="0"/>
              <w:jc w:val="center"/>
            </w:pPr>
            <w:r>
              <w:rPr>
                <w:sz w:val="24"/>
              </w:rPr>
              <w:t xml:space="preserve">не нормируется</w:t>
            </w:r>
          </w:p>
        </w:tc>
        <w:tc>
          <w:tcPr>
            <w:tcW w:w="2056" w:type="dxa"/>
          </w:tcPr>
          <w:p>
            <w:pPr>
              <w:pStyle w:val="0"/>
              <w:jc w:val="center"/>
            </w:pPr>
            <w:r>
              <w:rPr>
                <w:sz w:val="24"/>
              </w:rPr>
              <w:t xml:space="preserve">не нормируется</w:t>
            </w:r>
          </w:p>
        </w:tc>
        <w:tc>
          <w:tcPr>
            <w:tcW w:w="1852" w:type="dxa"/>
          </w:tcPr>
          <w:p>
            <w:pPr>
              <w:pStyle w:val="0"/>
              <w:jc w:val="center"/>
            </w:pPr>
            <w:r>
              <w:rPr>
                <w:sz w:val="24"/>
              </w:rPr>
              <w:t xml:space="preserve">не нормируется</w:t>
            </w:r>
          </w:p>
        </w:tc>
        <w:tc>
          <w:tcPr>
            <w:tcW w:w="1792" w:type="dxa"/>
          </w:tcPr>
          <w:p>
            <w:pPr>
              <w:pStyle w:val="0"/>
              <w:jc w:val="center"/>
            </w:pPr>
            <w:r>
              <w:rPr>
                <w:sz w:val="24"/>
              </w:rPr>
              <w:t xml:space="preserve">не нормируется</w:t>
            </w:r>
          </w:p>
        </w:tc>
        <w:tc>
          <w:tcPr>
            <w:tcW w:w="1792" w:type="dxa"/>
          </w:tcPr>
          <w:p>
            <w:pPr>
              <w:pStyle w:val="0"/>
              <w:jc w:val="center"/>
            </w:pPr>
            <w:r>
              <w:rPr>
                <w:sz w:val="24"/>
              </w:rPr>
              <w:t xml:space="preserve">не нормируется</w:t>
            </w:r>
          </w:p>
        </w:tc>
        <w:tc>
          <w:tcPr>
            <w:tcW w:w="1792" w:type="dxa"/>
          </w:tcPr>
          <w:p>
            <w:pPr>
              <w:pStyle w:val="0"/>
              <w:jc w:val="center"/>
            </w:pPr>
            <w:r>
              <w:rPr>
                <w:sz w:val="24"/>
              </w:rPr>
              <w:t xml:space="preserve">не нормируется</w:t>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jc w:val="both"/>
      </w:pPr>
      <w:r>
        <w:rPr>
          <w:sz w:val="24"/>
        </w:rPr>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ind w:firstLine="540"/>
        <w:jc w:val="both"/>
      </w:pPr>
      <w:r>
        <w:rPr>
          <w:sz w:val="24"/>
        </w:rPr>
        <w:t xml:space="preserve">Примечание. Порядок отнесения строительных конструкций к несущим элементам здания и сооружения устанавливается нормативными документами по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p>
      <w:pPr>
        <w:pStyle w:val="0"/>
        <w:outlineLvl w:val="1"/>
        <w:jc w:val="center"/>
      </w:pPr>
      <w:r>
        <w:rPr>
          <w:sz w:val="24"/>
        </w:rPr>
        <w:t xml:space="preserve">Таблица 22</w:t>
      </w:r>
    </w:p>
    <w:p>
      <w:pPr>
        <w:pStyle w:val="0"/>
        <w:jc w:val="right"/>
      </w:pPr>
      <w:r>
        <w:rPr>
          <w:sz w:val="24"/>
        </w:rPr>
      </w:r>
    </w:p>
    <w:bookmarkStart w:id="3012" w:name="P3012"/>
    <w:bookmarkEnd w:id="3012"/>
    <w:p>
      <w:pPr>
        <w:pStyle w:val="2"/>
        <w:jc w:val="center"/>
      </w:pPr>
      <w:r>
        <w:rPr>
          <w:sz w:val="24"/>
        </w:rPr>
        <w:t xml:space="preserve">Соответствие класса конструктивной пожарной опасности</w:t>
      </w:r>
    </w:p>
    <w:p>
      <w:pPr>
        <w:pStyle w:val="2"/>
        <w:jc w:val="center"/>
      </w:pPr>
      <w:r>
        <w:rPr>
          <w:sz w:val="24"/>
        </w:rPr>
        <w:t xml:space="preserve">и класса пожарной опасности строительных конструкций</w:t>
      </w:r>
    </w:p>
    <w:p>
      <w:pPr>
        <w:pStyle w:val="2"/>
        <w:jc w:val="center"/>
      </w:pPr>
      <w:r>
        <w:rPr>
          <w:sz w:val="24"/>
        </w:rPr>
        <w:t xml:space="preserve">зданий, сооружений и пожарных отсеков</w:t>
      </w:r>
    </w:p>
    <w:p>
      <w:pPr>
        <w:pStyle w:val="0"/>
        <w:jc w:val="center"/>
      </w:pPr>
      <w:r>
        <w:rPr>
          <w:sz w:val="24"/>
        </w:rPr>
        <w:t xml:space="preserve">(в ред. Федерального </w:t>
      </w:r>
      <w:r>
        <w:rPr>
          <w:sz w:val="24"/>
        </w:rPr>
        <w:t xml:space="preserve">закона</w:t>
      </w:r>
      <w:r>
        <w:rPr>
          <w:sz w:val="24"/>
        </w:rPr>
        <w:t xml:space="preserve"> от 10.07.2012 N 117-ФЗ)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Текст строки "Класс пожарной безопасности строительных конструкций" приведен в соответствии с публикацией в "Собрании законодательства РФ", 28.07.2008, N 30.</w:t>
            </w:r>
          </w:p>
          <w:p>
            <w:pPr>
              <w:pStyle w:val="0"/>
              <w:jc w:val="both"/>
            </w:pPr>
            <w:r>
              <w:rPr>
                <w:sz w:val="24"/>
                <w:color w:val="392c69"/>
              </w:rPr>
              <w:t xml:space="preserve">В "Российской газете", N 163, 01.08.2008 текст указанной строки приведен в следующей редакции: "Класс пожарной опасности строительных конструкций".</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00"/>
        <w:gridCol w:w="1792"/>
        <w:gridCol w:w="1792"/>
        <w:gridCol w:w="1924"/>
        <w:gridCol w:w="2476"/>
        <w:gridCol w:w="1660"/>
      </w:tblGrid>
      <w:tr>
        <w:tblPrEx>
          <w:tblBorders>
            <w:insideH w:val="single" w:sz="4"/>
          </w:tblBorders>
        </w:tblPrEx>
        <w:tc>
          <w:tcPr>
            <w:tcW w:w="2200" w:type="dxa"/>
            <w:tcBorders>
              <w:top w:val="single" w:sz="4"/>
              <w:bottom w:val="single" w:sz="4"/>
            </w:tcBorders>
            <w:vMerge w:val="restart"/>
          </w:tcPr>
          <w:p>
            <w:pPr>
              <w:pStyle w:val="0"/>
              <w:jc w:val="center"/>
            </w:pPr>
            <w:r>
              <w:rPr>
                <w:sz w:val="24"/>
              </w:rPr>
              <w:t xml:space="preserve">Класс конструктивной пожарной опасности здания</w:t>
            </w:r>
          </w:p>
        </w:tc>
        <w:tc>
          <w:tcPr>
            <w:gridSpan w:val="5"/>
            <w:tcW w:w="9644" w:type="dxa"/>
            <w:tcBorders>
              <w:top w:val="single" w:sz="4"/>
              <w:bottom w:val="single" w:sz="4"/>
            </w:tcBorders>
          </w:tcPr>
          <w:p>
            <w:pPr>
              <w:pStyle w:val="0"/>
              <w:jc w:val="center"/>
            </w:pPr>
            <w:r>
              <w:rPr>
                <w:sz w:val="24"/>
              </w:rPr>
              <w:t xml:space="preserve">Класс пожарной безопасности строительных конструкций</w:t>
            </w:r>
          </w:p>
        </w:tc>
      </w:tr>
      <w:tr>
        <w:tblPrEx>
          <w:tblBorders>
            <w:insideH w:val="single" w:sz="4"/>
          </w:tblBorders>
        </w:tblPrEx>
        <w:tc>
          <w:tcPr>
            <w:tcBorders>
              <w:top w:val="single" w:sz="4"/>
              <w:bottom w:val="single" w:sz="4"/>
            </w:tcBorders>
            <w:vMerge w:val="continue"/>
          </w:tcPr>
          <w:p/>
        </w:tc>
        <w:tc>
          <w:tcPr>
            <w:tcW w:w="1792" w:type="dxa"/>
            <w:tcBorders>
              <w:top w:val="single" w:sz="4"/>
              <w:bottom w:val="single" w:sz="4"/>
            </w:tcBorders>
          </w:tcPr>
          <w:p>
            <w:pPr>
              <w:pStyle w:val="0"/>
              <w:jc w:val="center"/>
            </w:pPr>
            <w:r>
              <w:rPr>
                <w:sz w:val="24"/>
              </w:rPr>
              <w:t xml:space="preserve">Несущие стержневые элементы (колонны, ригели, фермы)</w:t>
            </w:r>
          </w:p>
        </w:tc>
        <w:tc>
          <w:tcPr>
            <w:tcW w:w="1792" w:type="dxa"/>
            <w:tcBorders>
              <w:top w:val="single" w:sz="4"/>
              <w:bottom w:val="single" w:sz="4"/>
            </w:tcBorders>
          </w:tcPr>
          <w:p>
            <w:pPr>
              <w:pStyle w:val="0"/>
              <w:jc w:val="center"/>
            </w:pPr>
            <w:r>
              <w:rPr>
                <w:sz w:val="24"/>
              </w:rPr>
              <w:t xml:space="preserve">Наружные стены с внешней стороны</w:t>
            </w:r>
          </w:p>
        </w:tc>
        <w:tc>
          <w:tcPr>
            <w:tcW w:w="1924" w:type="dxa"/>
            <w:tcBorders>
              <w:top w:val="single" w:sz="4"/>
              <w:bottom w:val="single" w:sz="4"/>
            </w:tcBorders>
          </w:tcPr>
          <w:p>
            <w:pPr>
              <w:pStyle w:val="0"/>
              <w:jc w:val="center"/>
            </w:pPr>
            <w:r>
              <w:rPr>
                <w:sz w:val="24"/>
              </w:rPr>
              <w:t xml:space="preserve">Стены, перегородки, перекрытия и бесчердачные покрытия</w:t>
            </w:r>
          </w:p>
        </w:tc>
        <w:tc>
          <w:tcPr>
            <w:tcW w:w="2476" w:type="dxa"/>
            <w:tcBorders>
              <w:top w:val="single" w:sz="4"/>
              <w:bottom w:val="single" w:sz="4"/>
            </w:tcBorders>
          </w:tcPr>
          <w:p>
            <w:pPr>
              <w:pStyle w:val="0"/>
              <w:jc w:val="center"/>
            </w:pPr>
            <w:r>
              <w:rPr>
                <w:sz w:val="24"/>
              </w:rPr>
              <w:t xml:space="preserve">Стены лестничных клеток и противопожарные преграды</w:t>
            </w:r>
          </w:p>
        </w:tc>
        <w:tc>
          <w:tcPr>
            <w:tcW w:w="1660" w:type="dxa"/>
            <w:tcBorders>
              <w:top w:val="single" w:sz="4"/>
              <w:bottom w:val="single" w:sz="4"/>
            </w:tcBorders>
          </w:tcPr>
          <w:p>
            <w:pPr>
              <w:pStyle w:val="0"/>
              <w:jc w:val="center"/>
            </w:pPr>
            <w:r>
              <w:rPr>
                <w:sz w:val="24"/>
              </w:rPr>
              <w:t xml:space="preserve">Марши и площадки лестниц в лестничных клетках</w:t>
            </w:r>
          </w:p>
        </w:tc>
      </w:tr>
      <w:tr>
        <w:tc>
          <w:tcPr>
            <w:tcW w:w="2200" w:type="dxa"/>
            <w:tcBorders>
              <w:top w:val="single" w:sz="4"/>
              <w:bottom w:val="nil"/>
            </w:tcBorders>
          </w:tcPr>
          <w:p>
            <w:pPr>
              <w:pStyle w:val="0"/>
              <w:jc w:val="center"/>
            </w:pPr>
            <w:r>
              <w:rPr>
                <w:sz w:val="24"/>
              </w:rPr>
              <w:t xml:space="preserve">С0</w:t>
            </w:r>
          </w:p>
        </w:tc>
        <w:tc>
          <w:tcPr>
            <w:tcW w:w="1792" w:type="dxa"/>
            <w:tcBorders>
              <w:top w:val="single" w:sz="4"/>
              <w:bottom w:val="nil"/>
            </w:tcBorders>
          </w:tcPr>
          <w:p>
            <w:pPr>
              <w:pStyle w:val="0"/>
              <w:jc w:val="center"/>
            </w:pPr>
            <w:r>
              <w:rPr>
                <w:sz w:val="24"/>
              </w:rPr>
              <w:t xml:space="preserve">К0</w:t>
            </w:r>
          </w:p>
        </w:tc>
        <w:tc>
          <w:tcPr>
            <w:tcW w:w="1792" w:type="dxa"/>
            <w:tcBorders>
              <w:top w:val="single" w:sz="4"/>
              <w:bottom w:val="nil"/>
            </w:tcBorders>
          </w:tcPr>
          <w:p>
            <w:pPr>
              <w:pStyle w:val="0"/>
              <w:jc w:val="center"/>
            </w:pPr>
            <w:r>
              <w:rPr>
                <w:sz w:val="24"/>
              </w:rPr>
              <w:t xml:space="preserve">К0</w:t>
            </w:r>
          </w:p>
        </w:tc>
        <w:tc>
          <w:tcPr>
            <w:tcW w:w="1924" w:type="dxa"/>
            <w:tcBorders>
              <w:top w:val="single" w:sz="4"/>
              <w:bottom w:val="nil"/>
            </w:tcBorders>
          </w:tcPr>
          <w:p>
            <w:pPr>
              <w:pStyle w:val="0"/>
              <w:jc w:val="center"/>
            </w:pPr>
            <w:r>
              <w:rPr>
                <w:sz w:val="24"/>
              </w:rPr>
              <w:t xml:space="preserve">К0</w:t>
            </w:r>
          </w:p>
        </w:tc>
        <w:tc>
          <w:tcPr>
            <w:tcW w:w="2476" w:type="dxa"/>
            <w:tcBorders>
              <w:top w:val="single" w:sz="4"/>
              <w:bottom w:val="nil"/>
            </w:tcBorders>
          </w:tcPr>
          <w:p>
            <w:pPr>
              <w:pStyle w:val="0"/>
              <w:jc w:val="center"/>
            </w:pPr>
            <w:r>
              <w:rPr>
                <w:sz w:val="24"/>
              </w:rPr>
              <w:t xml:space="preserve">К0</w:t>
            </w:r>
          </w:p>
        </w:tc>
        <w:tc>
          <w:tcPr>
            <w:tcW w:w="1660" w:type="dxa"/>
            <w:tcBorders>
              <w:top w:val="single" w:sz="4"/>
              <w:bottom w:val="nil"/>
            </w:tcBorders>
          </w:tcPr>
          <w:p>
            <w:pPr>
              <w:pStyle w:val="0"/>
              <w:jc w:val="center"/>
            </w:pPr>
            <w:r>
              <w:rPr>
                <w:sz w:val="24"/>
              </w:rPr>
              <w:t xml:space="preserve">К0</w:t>
            </w:r>
          </w:p>
        </w:tc>
      </w:tr>
      <w:tr>
        <w:tc>
          <w:tcPr>
            <w:tcW w:w="2200" w:type="dxa"/>
            <w:tcBorders>
              <w:top w:val="nil"/>
              <w:bottom w:val="nil"/>
            </w:tcBorders>
          </w:tcPr>
          <w:p>
            <w:pPr>
              <w:pStyle w:val="0"/>
              <w:jc w:val="center"/>
            </w:pPr>
            <w:r>
              <w:rPr>
                <w:sz w:val="24"/>
              </w:rPr>
              <w:t xml:space="preserve">С1</w:t>
            </w:r>
          </w:p>
        </w:tc>
        <w:tc>
          <w:tcPr>
            <w:tcW w:w="1792" w:type="dxa"/>
            <w:tcBorders>
              <w:top w:val="nil"/>
              <w:bottom w:val="nil"/>
            </w:tcBorders>
          </w:tcPr>
          <w:p>
            <w:pPr>
              <w:pStyle w:val="0"/>
              <w:jc w:val="center"/>
            </w:pPr>
            <w:r>
              <w:rPr>
                <w:sz w:val="24"/>
              </w:rPr>
              <w:t xml:space="preserve">К1</w:t>
            </w:r>
          </w:p>
        </w:tc>
        <w:tc>
          <w:tcPr>
            <w:tcW w:w="1792" w:type="dxa"/>
            <w:tcBorders>
              <w:top w:val="nil"/>
              <w:bottom w:val="nil"/>
            </w:tcBorders>
          </w:tcPr>
          <w:p>
            <w:pPr>
              <w:pStyle w:val="0"/>
              <w:jc w:val="center"/>
            </w:pPr>
            <w:r>
              <w:rPr>
                <w:sz w:val="24"/>
              </w:rPr>
              <w:t xml:space="preserve">К2</w:t>
            </w:r>
          </w:p>
        </w:tc>
        <w:tc>
          <w:tcPr>
            <w:tcW w:w="1924" w:type="dxa"/>
            <w:tcBorders>
              <w:top w:val="nil"/>
              <w:bottom w:val="nil"/>
            </w:tcBorders>
          </w:tcPr>
          <w:p>
            <w:pPr>
              <w:pStyle w:val="0"/>
              <w:jc w:val="center"/>
            </w:pPr>
            <w:r>
              <w:rPr>
                <w:sz w:val="24"/>
              </w:rPr>
              <w:t xml:space="preserve">К1</w:t>
            </w:r>
          </w:p>
        </w:tc>
        <w:tc>
          <w:tcPr>
            <w:tcW w:w="2476" w:type="dxa"/>
            <w:tcBorders>
              <w:top w:val="nil"/>
              <w:bottom w:val="nil"/>
            </w:tcBorders>
          </w:tcPr>
          <w:p>
            <w:pPr>
              <w:pStyle w:val="0"/>
              <w:jc w:val="center"/>
            </w:pPr>
            <w:r>
              <w:rPr>
                <w:sz w:val="24"/>
              </w:rPr>
              <w:t xml:space="preserve">К0</w:t>
            </w:r>
          </w:p>
        </w:tc>
        <w:tc>
          <w:tcPr>
            <w:tcW w:w="1660" w:type="dxa"/>
            <w:tcBorders>
              <w:top w:val="nil"/>
              <w:bottom w:val="nil"/>
            </w:tcBorders>
          </w:tcPr>
          <w:p>
            <w:pPr>
              <w:pStyle w:val="0"/>
              <w:jc w:val="center"/>
            </w:pPr>
            <w:r>
              <w:rPr>
                <w:sz w:val="24"/>
              </w:rPr>
              <w:t xml:space="preserve">К0</w:t>
            </w:r>
          </w:p>
        </w:tc>
      </w:tr>
      <w:tr>
        <w:tc>
          <w:tcPr>
            <w:tcW w:w="2200" w:type="dxa"/>
            <w:tcBorders>
              <w:top w:val="nil"/>
              <w:bottom w:val="nil"/>
            </w:tcBorders>
          </w:tcPr>
          <w:p>
            <w:pPr>
              <w:pStyle w:val="0"/>
              <w:jc w:val="center"/>
            </w:pPr>
            <w:r>
              <w:rPr>
                <w:sz w:val="24"/>
              </w:rPr>
              <w:t xml:space="preserve">С2</w:t>
            </w:r>
          </w:p>
        </w:tc>
        <w:tc>
          <w:tcPr>
            <w:tcW w:w="1792" w:type="dxa"/>
            <w:tcBorders>
              <w:top w:val="nil"/>
              <w:bottom w:val="nil"/>
            </w:tcBorders>
          </w:tcPr>
          <w:p>
            <w:pPr>
              <w:pStyle w:val="0"/>
              <w:jc w:val="center"/>
            </w:pPr>
            <w:r>
              <w:rPr>
                <w:sz w:val="24"/>
              </w:rPr>
              <w:t xml:space="preserve">К3</w:t>
            </w:r>
          </w:p>
        </w:tc>
        <w:tc>
          <w:tcPr>
            <w:tcW w:w="1792" w:type="dxa"/>
            <w:tcBorders>
              <w:top w:val="nil"/>
              <w:bottom w:val="nil"/>
            </w:tcBorders>
          </w:tcPr>
          <w:p>
            <w:pPr>
              <w:pStyle w:val="0"/>
              <w:jc w:val="center"/>
            </w:pPr>
            <w:r>
              <w:rPr>
                <w:sz w:val="24"/>
              </w:rPr>
              <w:t xml:space="preserve">К3</w:t>
            </w:r>
          </w:p>
        </w:tc>
        <w:tc>
          <w:tcPr>
            <w:tcW w:w="1924" w:type="dxa"/>
            <w:tcBorders>
              <w:top w:val="nil"/>
              <w:bottom w:val="nil"/>
            </w:tcBorders>
          </w:tcPr>
          <w:p>
            <w:pPr>
              <w:pStyle w:val="0"/>
              <w:jc w:val="center"/>
            </w:pPr>
            <w:r>
              <w:rPr>
                <w:sz w:val="24"/>
              </w:rPr>
              <w:t xml:space="preserve">К2</w:t>
            </w:r>
          </w:p>
        </w:tc>
        <w:tc>
          <w:tcPr>
            <w:tcW w:w="2476" w:type="dxa"/>
            <w:tcBorders>
              <w:top w:val="nil"/>
              <w:bottom w:val="nil"/>
            </w:tcBorders>
          </w:tcPr>
          <w:p>
            <w:pPr>
              <w:pStyle w:val="0"/>
              <w:jc w:val="center"/>
            </w:pPr>
            <w:r>
              <w:rPr>
                <w:sz w:val="24"/>
              </w:rPr>
              <w:t xml:space="preserve">К1</w:t>
            </w:r>
          </w:p>
        </w:tc>
        <w:tc>
          <w:tcPr>
            <w:tcW w:w="1660" w:type="dxa"/>
            <w:tcBorders>
              <w:top w:val="nil"/>
              <w:bottom w:val="nil"/>
            </w:tcBorders>
          </w:tcPr>
          <w:p>
            <w:pPr>
              <w:pStyle w:val="0"/>
              <w:jc w:val="center"/>
            </w:pPr>
            <w:r>
              <w:rPr>
                <w:sz w:val="24"/>
              </w:rPr>
              <w:t xml:space="preserve">К1</w:t>
            </w:r>
          </w:p>
        </w:tc>
      </w:tr>
      <w:tr>
        <w:tc>
          <w:tcPr>
            <w:tcW w:w="2200" w:type="dxa"/>
            <w:tcBorders>
              <w:top w:val="nil"/>
              <w:bottom w:val="single" w:sz="4"/>
            </w:tcBorders>
          </w:tcPr>
          <w:p>
            <w:pPr>
              <w:pStyle w:val="0"/>
              <w:jc w:val="center"/>
            </w:pPr>
            <w:r>
              <w:rPr>
                <w:sz w:val="24"/>
              </w:rPr>
              <w:t xml:space="preserve">С3</w:t>
            </w:r>
          </w:p>
        </w:tc>
        <w:tc>
          <w:tcPr>
            <w:tcW w:w="1792" w:type="dxa"/>
            <w:tcBorders>
              <w:top w:val="nil"/>
              <w:bottom w:val="single" w:sz="4"/>
            </w:tcBorders>
          </w:tcPr>
          <w:p>
            <w:pPr>
              <w:pStyle w:val="0"/>
              <w:jc w:val="center"/>
            </w:pPr>
            <w:r>
              <w:rPr>
                <w:sz w:val="24"/>
              </w:rPr>
              <w:t xml:space="preserve">не нормируется</w:t>
            </w:r>
          </w:p>
        </w:tc>
        <w:tc>
          <w:tcPr>
            <w:tcW w:w="1792" w:type="dxa"/>
            <w:tcBorders>
              <w:top w:val="nil"/>
              <w:bottom w:val="single" w:sz="4"/>
            </w:tcBorders>
          </w:tcPr>
          <w:p>
            <w:pPr>
              <w:pStyle w:val="0"/>
              <w:jc w:val="center"/>
            </w:pPr>
            <w:r>
              <w:rPr>
                <w:sz w:val="24"/>
              </w:rPr>
              <w:t xml:space="preserve">не нормируется</w:t>
            </w:r>
          </w:p>
        </w:tc>
        <w:tc>
          <w:tcPr>
            <w:tcW w:w="1924" w:type="dxa"/>
            <w:tcBorders>
              <w:top w:val="nil"/>
              <w:bottom w:val="single" w:sz="4"/>
            </w:tcBorders>
          </w:tcPr>
          <w:p>
            <w:pPr>
              <w:pStyle w:val="0"/>
              <w:jc w:val="center"/>
            </w:pPr>
            <w:r>
              <w:rPr>
                <w:sz w:val="24"/>
              </w:rPr>
              <w:t xml:space="preserve">не нормируется</w:t>
            </w:r>
          </w:p>
        </w:tc>
        <w:tc>
          <w:tcPr>
            <w:tcW w:w="2476" w:type="dxa"/>
            <w:tcBorders>
              <w:top w:val="nil"/>
              <w:bottom w:val="single" w:sz="4"/>
            </w:tcBorders>
          </w:tcPr>
          <w:p>
            <w:pPr>
              <w:pStyle w:val="0"/>
              <w:jc w:val="center"/>
            </w:pPr>
            <w:r>
              <w:rPr>
                <w:sz w:val="24"/>
              </w:rPr>
              <w:t xml:space="preserve">К1</w:t>
            </w:r>
          </w:p>
        </w:tc>
        <w:tc>
          <w:tcPr>
            <w:tcW w:w="1660" w:type="dxa"/>
            <w:tcBorders>
              <w:top w:val="nil"/>
              <w:bottom w:val="single" w:sz="4"/>
            </w:tcBorders>
          </w:tcPr>
          <w:p>
            <w:pPr>
              <w:pStyle w:val="0"/>
              <w:jc w:val="center"/>
            </w:pPr>
            <w:r>
              <w:rPr>
                <w:sz w:val="24"/>
              </w:rPr>
              <w:t xml:space="preserve">К3</w:t>
            </w:r>
          </w:p>
        </w:tc>
      </w:tr>
    </w:tbl>
    <w:p>
      <w:pPr>
        <w:pStyle w:val="0"/>
        <w:ind w:firstLine="540"/>
        <w:jc w:val="both"/>
      </w:pPr>
      <w:r>
        <w:rPr>
          <w:sz w:val="24"/>
        </w:rPr>
      </w:r>
    </w:p>
    <w:p>
      <w:pPr>
        <w:pStyle w:val="0"/>
        <w:outlineLvl w:val="1"/>
        <w:jc w:val="center"/>
      </w:pPr>
      <w:r>
        <w:rPr>
          <w:sz w:val="24"/>
        </w:rPr>
        <w:t xml:space="preserve">Таблица 23</w:t>
      </w:r>
    </w:p>
    <w:p>
      <w:pPr>
        <w:pStyle w:val="0"/>
        <w:ind w:firstLine="540"/>
        <w:jc w:val="both"/>
      </w:pPr>
      <w:r>
        <w:rPr>
          <w:sz w:val="24"/>
        </w:rPr>
      </w:r>
    </w:p>
    <w:bookmarkStart w:id="3054" w:name="P3054"/>
    <w:bookmarkEnd w:id="3054"/>
    <w:p>
      <w:pPr>
        <w:pStyle w:val="2"/>
        <w:jc w:val="center"/>
      </w:pPr>
      <w:r>
        <w:rPr>
          <w:sz w:val="24"/>
        </w:rPr>
        <w:t xml:space="preserve">Пределы огнестойкости противопожарных преград</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00"/>
        <w:gridCol w:w="2500"/>
        <w:gridCol w:w="2500"/>
        <w:gridCol w:w="2500"/>
        <w:gridCol w:w="1144"/>
      </w:tblGrid>
      <w:tr>
        <w:tc>
          <w:tcPr>
            <w:tcW w:w="2500" w:type="dxa"/>
          </w:tcPr>
          <w:p>
            <w:pPr>
              <w:pStyle w:val="0"/>
              <w:jc w:val="center"/>
            </w:pPr>
            <w:r>
              <w:rPr>
                <w:sz w:val="24"/>
              </w:rPr>
              <w:t xml:space="preserve">Наименование противопожарных преград</w:t>
            </w:r>
          </w:p>
        </w:tc>
        <w:tc>
          <w:tcPr>
            <w:tcW w:w="2500" w:type="dxa"/>
          </w:tcPr>
          <w:p>
            <w:pPr>
              <w:pStyle w:val="0"/>
              <w:jc w:val="center"/>
            </w:pPr>
            <w:r>
              <w:rPr>
                <w:sz w:val="24"/>
              </w:rPr>
              <w:t xml:space="preserve">Тип противопожарных преград</w:t>
            </w:r>
          </w:p>
        </w:tc>
        <w:tc>
          <w:tcPr>
            <w:tcW w:w="2500" w:type="dxa"/>
          </w:tcPr>
          <w:p>
            <w:pPr>
              <w:pStyle w:val="0"/>
              <w:jc w:val="center"/>
            </w:pPr>
            <w:r>
              <w:rPr>
                <w:sz w:val="24"/>
              </w:rPr>
              <w:t xml:space="preserve">Предел огнестойкости противопожарных преград</w:t>
            </w:r>
          </w:p>
        </w:tc>
        <w:tc>
          <w:tcPr>
            <w:tcW w:w="2500" w:type="dxa"/>
          </w:tcPr>
          <w:p>
            <w:pPr>
              <w:pStyle w:val="0"/>
              <w:jc w:val="center"/>
            </w:pPr>
            <w:r>
              <w:rPr>
                <w:sz w:val="24"/>
              </w:rPr>
              <w:t xml:space="preserve">Тип заполнения проемов в противопожарных преградах</w:t>
            </w:r>
          </w:p>
        </w:tc>
        <w:tc>
          <w:tcPr>
            <w:tcW w:w="1144" w:type="dxa"/>
          </w:tcPr>
          <w:p>
            <w:pPr>
              <w:pStyle w:val="0"/>
              <w:jc w:val="center"/>
            </w:pPr>
            <w:r>
              <w:rPr>
                <w:sz w:val="24"/>
              </w:rPr>
              <w:t xml:space="preserve">Тип тамбур-шлюза</w:t>
            </w:r>
          </w:p>
        </w:tc>
      </w:tr>
      <w:tr>
        <w:tc>
          <w:tcPr>
            <w:tcW w:w="2500" w:type="dxa"/>
            <w:vMerge w:val="restart"/>
          </w:tcPr>
          <w:p>
            <w:pPr>
              <w:pStyle w:val="0"/>
            </w:pPr>
            <w:r>
              <w:rPr>
                <w:sz w:val="24"/>
              </w:rPr>
              <w:t xml:space="preserve">Стены</w:t>
            </w:r>
          </w:p>
        </w:tc>
        <w:tc>
          <w:tcPr>
            <w:tcW w:w="2500" w:type="dxa"/>
          </w:tcPr>
          <w:p>
            <w:pPr>
              <w:pStyle w:val="0"/>
              <w:jc w:val="center"/>
            </w:pPr>
            <w:r>
              <w:rPr>
                <w:sz w:val="24"/>
              </w:rPr>
              <w:t xml:space="preserve">1</w:t>
            </w:r>
          </w:p>
        </w:tc>
        <w:tc>
          <w:tcPr>
            <w:tcW w:w="2500" w:type="dxa"/>
          </w:tcPr>
          <w:p>
            <w:pPr>
              <w:pStyle w:val="0"/>
              <w:jc w:val="center"/>
            </w:pPr>
            <w:r>
              <w:rPr>
                <w:sz w:val="24"/>
              </w:rPr>
              <w:t xml:space="preserve">REI 150</w:t>
            </w:r>
          </w:p>
        </w:tc>
        <w:tc>
          <w:tcPr>
            <w:tcW w:w="2500" w:type="dxa"/>
          </w:tcPr>
          <w:p>
            <w:pPr>
              <w:pStyle w:val="0"/>
              <w:jc w:val="center"/>
            </w:pPr>
            <w:r>
              <w:rPr>
                <w:sz w:val="24"/>
              </w:rPr>
              <w:t xml:space="preserve">1</w:t>
            </w:r>
          </w:p>
        </w:tc>
        <w:tc>
          <w:tcPr>
            <w:tcW w:w="1144" w:type="dxa"/>
          </w:tcPr>
          <w:p>
            <w:pPr>
              <w:pStyle w:val="0"/>
              <w:jc w:val="center"/>
            </w:pPr>
            <w:r>
              <w:rPr>
                <w:sz w:val="24"/>
              </w:rPr>
              <w:t xml:space="preserve">1</w:t>
            </w:r>
          </w:p>
        </w:tc>
      </w:tr>
      <w:tr>
        <w:tc>
          <w:tcPr>
            <w:vMerge w:val="continue"/>
          </w:tcPr>
          <w:p/>
        </w:tc>
        <w:tc>
          <w:tcPr>
            <w:tcW w:w="2500" w:type="dxa"/>
          </w:tcPr>
          <w:p>
            <w:pPr>
              <w:pStyle w:val="0"/>
              <w:jc w:val="center"/>
            </w:pPr>
            <w:r>
              <w:rPr>
                <w:sz w:val="24"/>
              </w:rPr>
              <w:t xml:space="preserve">2</w:t>
            </w:r>
          </w:p>
        </w:tc>
        <w:tc>
          <w:tcPr>
            <w:tcW w:w="2500" w:type="dxa"/>
          </w:tcPr>
          <w:p>
            <w:pPr>
              <w:pStyle w:val="0"/>
              <w:jc w:val="center"/>
            </w:pPr>
            <w:r>
              <w:rPr>
                <w:sz w:val="24"/>
              </w:rPr>
              <w:t xml:space="preserve">REI 45</w:t>
            </w:r>
          </w:p>
        </w:tc>
        <w:tc>
          <w:tcPr>
            <w:tcW w:w="2500" w:type="dxa"/>
          </w:tcPr>
          <w:p>
            <w:pPr>
              <w:pStyle w:val="0"/>
              <w:jc w:val="center"/>
            </w:pPr>
            <w:r>
              <w:rPr>
                <w:sz w:val="24"/>
              </w:rPr>
              <w:t xml:space="preserve">2</w:t>
            </w:r>
          </w:p>
        </w:tc>
        <w:tc>
          <w:tcPr>
            <w:tcW w:w="1144" w:type="dxa"/>
          </w:tcPr>
          <w:p>
            <w:pPr>
              <w:pStyle w:val="0"/>
              <w:jc w:val="center"/>
            </w:pPr>
            <w:r>
              <w:rPr>
                <w:sz w:val="24"/>
              </w:rPr>
              <w:t xml:space="preserve">2</w:t>
            </w:r>
          </w:p>
        </w:tc>
      </w:tr>
      <w:tr>
        <w:tc>
          <w:tcPr>
            <w:tcW w:w="2500" w:type="dxa"/>
            <w:vMerge w:val="restart"/>
          </w:tcPr>
          <w:p>
            <w:pPr>
              <w:pStyle w:val="0"/>
            </w:pPr>
            <w:r>
              <w:rPr>
                <w:sz w:val="24"/>
              </w:rPr>
              <w:t xml:space="preserve">Перегородки</w:t>
            </w:r>
          </w:p>
        </w:tc>
        <w:tc>
          <w:tcPr>
            <w:tcW w:w="2500" w:type="dxa"/>
          </w:tcPr>
          <w:p>
            <w:pPr>
              <w:pStyle w:val="0"/>
              <w:jc w:val="center"/>
            </w:pPr>
            <w:r>
              <w:rPr>
                <w:sz w:val="24"/>
              </w:rPr>
              <w:t xml:space="preserve">1</w:t>
            </w:r>
          </w:p>
        </w:tc>
        <w:tc>
          <w:tcPr>
            <w:tcW w:w="2500" w:type="dxa"/>
          </w:tcPr>
          <w:p>
            <w:pPr>
              <w:pStyle w:val="0"/>
              <w:jc w:val="center"/>
            </w:pPr>
            <w:r>
              <w:rPr>
                <w:sz w:val="24"/>
              </w:rPr>
              <w:t xml:space="preserve">EI 45</w:t>
            </w:r>
          </w:p>
        </w:tc>
        <w:tc>
          <w:tcPr>
            <w:tcW w:w="2500" w:type="dxa"/>
          </w:tcPr>
          <w:p>
            <w:pPr>
              <w:pStyle w:val="0"/>
              <w:jc w:val="center"/>
            </w:pPr>
            <w:r>
              <w:rPr>
                <w:sz w:val="24"/>
              </w:rPr>
              <w:t xml:space="preserve">2</w:t>
            </w:r>
          </w:p>
        </w:tc>
        <w:tc>
          <w:tcPr>
            <w:tcW w:w="1144" w:type="dxa"/>
          </w:tcPr>
          <w:p>
            <w:pPr>
              <w:pStyle w:val="0"/>
              <w:jc w:val="center"/>
            </w:pPr>
            <w:r>
              <w:rPr>
                <w:sz w:val="24"/>
              </w:rPr>
              <w:t xml:space="preserve">1</w:t>
            </w:r>
          </w:p>
        </w:tc>
      </w:tr>
      <w:tr>
        <w:tc>
          <w:tcPr>
            <w:vMerge w:val="continue"/>
          </w:tcPr>
          <w:p/>
        </w:tc>
        <w:tc>
          <w:tcPr>
            <w:tcW w:w="2500" w:type="dxa"/>
          </w:tcPr>
          <w:p>
            <w:pPr>
              <w:pStyle w:val="0"/>
              <w:jc w:val="center"/>
            </w:pPr>
            <w:r>
              <w:rPr>
                <w:sz w:val="24"/>
              </w:rPr>
              <w:t xml:space="preserve">2</w:t>
            </w:r>
          </w:p>
        </w:tc>
        <w:tc>
          <w:tcPr>
            <w:tcW w:w="2500" w:type="dxa"/>
          </w:tcPr>
          <w:p>
            <w:pPr>
              <w:pStyle w:val="0"/>
              <w:jc w:val="center"/>
            </w:pPr>
            <w:r>
              <w:rPr>
                <w:sz w:val="24"/>
              </w:rPr>
              <w:t xml:space="preserve">EI 15</w:t>
            </w:r>
          </w:p>
        </w:tc>
        <w:tc>
          <w:tcPr>
            <w:tcW w:w="2500" w:type="dxa"/>
          </w:tcPr>
          <w:p>
            <w:pPr>
              <w:pStyle w:val="0"/>
              <w:jc w:val="center"/>
            </w:pPr>
            <w:r>
              <w:rPr>
                <w:sz w:val="24"/>
              </w:rPr>
              <w:t xml:space="preserve">3</w:t>
            </w:r>
          </w:p>
        </w:tc>
        <w:tc>
          <w:tcPr>
            <w:tcW w:w="1144" w:type="dxa"/>
          </w:tcPr>
          <w:p>
            <w:pPr>
              <w:pStyle w:val="0"/>
              <w:jc w:val="center"/>
            </w:pPr>
            <w:r>
              <w:rPr>
                <w:sz w:val="24"/>
              </w:rPr>
              <w:t xml:space="preserve">2</w:t>
            </w:r>
          </w:p>
        </w:tc>
      </w:tr>
      <w:tr>
        <w:tc>
          <w:tcPr>
            <w:tcW w:w="2500" w:type="dxa"/>
            <w:vMerge w:val="restart"/>
          </w:tcPr>
          <w:p>
            <w:pPr>
              <w:pStyle w:val="0"/>
            </w:pPr>
            <w:r>
              <w:rPr>
                <w:sz w:val="24"/>
              </w:rPr>
              <w:t xml:space="preserve">Светопрозрачные перегородки с остеклением площадью более 25 процентов</w:t>
            </w:r>
          </w:p>
        </w:tc>
        <w:tc>
          <w:tcPr>
            <w:tcW w:w="2500" w:type="dxa"/>
          </w:tcPr>
          <w:p>
            <w:pPr>
              <w:pStyle w:val="0"/>
              <w:jc w:val="center"/>
            </w:pPr>
            <w:r>
              <w:rPr>
                <w:sz w:val="24"/>
              </w:rPr>
              <w:t xml:space="preserve">1</w:t>
            </w:r>
          </w:p>
        </w:tc>
        <w:tc>
          <w:tcPr>
            <w:tcW w:w="2500" w:type="dxa"/>
          </w:tcPr>
          <w:p>
            <w:pPr>
              <w:pStyle w:val="0"/>
              <w:jc w:val="center"/>
            </w:pPr>
            <w:r>
              <w:rPr>
                <w:sz w:val="24"/>
              </w:rPr>
              <w:t xml:space="preserve">EIW 45</w:t>
            </w:r>
          </w:p>
        </w:tc>
        <w:tc>
          <w:tcPr>
            <w:tcW w:w="2500" w:type="dxa"/>
          </w:tcPr>
          <w:p>
            <w:pPr>
              <w:pStyle w:val="0"/>
              <w:jc w:val="center"/>
            </w:pPr>
            <w:r>
              <w:rPr>
                <w:sz w:val="24"/>
              </w:rPr>
              <w:t xml:space="preserve">2</w:t>
            </w:r>
          </w:p>
        </w:tc>
        <w:tc>
          <w:tcPr>
            <w:tcW w:w="1144" w:type="dxa"/>
          </w:tcPr>
          <w:p>
            <w:pPr>
              <w:pStyle w:val="0"/>
              <w:jc w:val="center"/>
            </w:pPr>
            <w:r>
              <w:rPr>
                <w:sz w:val="24"/>
              </w:rPr>
              <w:t xml:space="preserve">1</w:t>
            </w:r>
          </w:p>
        </w:tc>
      </w:tr>
      <w:tr>
        <w:tc>
          <w:tcPr>
            <w:vMerge w:val="continue"/>
          </w:tcPr>
          <w:p/>
        </w:tc>
        <w:tc>
          <w:tcPr>
            <w:tcW w:w="2500" w:type="dxa"/>
          </w:tcPr>
          <w:p>
            <w:pPr>
              <w:pStyle w:val="0"/>
              <w:jc w:val="center"/>
            </w:pPr>
            <w:r>
              <w:rPr>
                <w:sz w:val="24"/>
              </w:rPr>
              <w:t xml:space="preserve">2</w:t>
            </w:r>
          </w:p>
        </w:tc>
        <w:tc>
          <w:tcPr>
            <w:tcW w:w="2500" w:type="dxa"/>
          </w:tcPr>
          <w:p>
            <w:pPr>
              <w:pStyle w:val="0"/>
              <w:jc w:val="center"/>
            </w:pPr>
            <w:r>
              <w:rPr>
                <w:sz w:val="24"/>
              </w:rPr>
              <w:t xml:space="preserve">EIW 15</w:t>
            </w:r>
          </w:p>
        </w:tc>
        <w:tc>
          <w:tcPr>
            <w:tcW w:w="2500" w:type="dxa"/>
          </w:tcPr>
          <w:p>
            <w:pPr>
              <w:pStyle w:val="0"/>
              <w:jc w:val="center"/>
            </w:pPr>
            <w:r>
              <w:rPr>
                <w:sz w:val="24"/>
              </w:rPr>
              <w:t xml:space="preserve">3</w:t>
            </w:r>
          </w:p>
        </w:tc>
        <w:tc>
          <w:tcPr>
            <w:tcW w:w="1144" w:type="dxa"/>
          </w:tcPr>
          <w:p>
            <w:pPr>
              <w:pStyle w:val="0"/>
              <w:jc w:val="center"/>
            </w:pPr>
            <w:r>
              <w:rPr>
                <w:sz w:val="24"/>
              </w:rPr>
              <w:t xml:space="preserve">2</w:t>
            </w:r>
          </w:p>
        </w:tc>
      </w:tr>
      <w:tr>
        <w:tc>
          <w:tcPr>
            <w:tcW w:w="2500" w:type="dxa"/>
            <w:vMerge w:val="restart"/>
          </w:tcPr>
          <w:p>
            <w:pPr>
              <w:pStyle w:val="0"/>
            </w:pPr>
            <w:r>
              <w:rPr>
                <w:sz w:val="24"/>
              </w:rPr>
              <w:t xml:space="preserve">Перекрытия</w:t>
            </w:r>
          </w:p>
        </w:tc>
        <w:tc>
          <w:tcPr>
            <w:tcW w:w="2500" w:type="dxa"/>
          </w:tcPr>
          <w:p>
            <w:pPr>
              <w:pStyle w:val="0"/>
              <w:jc w:val="center"/>
            </w:pPr>
            <w:r>
              <w:rPr>
                <w:sz w:val="24"/>
              </w:rPr>
              <w:t xml:space="preserve">1</w:t>
            </w:r>
          </w:p>
        </w:tc>
        <w:tc>
          <w:tcPr>
            <w:tcW w:w="2500" w:type="dxa"/>
          </w:tcPr>
          <w:p>
            <w:pPr>
              <w:pStyle w:val="0"/>
              <w:jc w:val="center"/>
            </w:pPr>
            <w:r>
              <w:rPr>
                <w:sz w:val="24"/>
              </w:rPr>
              <w:t xml:space="preserve">REI 150</w:t>
            </w:r>
          </w:p>
        </w:tc>
        <w:tc>
          <w:tcPr>
            <w:tcW w:w="2500" w:type="dxa"/>
          </w:tcPr>
          <w:p>
            <w:pPr>
              <w:pStyle w:val="0"/>
              <w:jc w:val="center"/>
            </w:pPr>
            <w:r>
              <w:rPr>
                <w:sz w:val="24"/>
              </w:rPr>
              <w:t xml:space="preserve">1</w:t>
            </w:r>
          </w:p>
        </w:tc>
        <w:tc>
          <w:tcPr>
            <w:tcW w:w="1144" w:type="dxa"/>
          </w:tcPr>
          <w:p>
            <w:pPr>
              <w:pStyle w:val="0"/>
              <w:jc w:val="center"/>
            </w:pPr>
            <w:r>
              <w:rPr>
                <w:sz w:val="24"/>
              </w:rPr>
              <w:t xml:space="preserve">1</w:t>
            </w:r>
          </w:p>
        </w:tc>
      </w:tr>
      <w:tr>
        <w:tc>
          <w:tcPr>
            <w:vMerge w:val="continue"/>
          </w:tcPr>
          <w:p/>
        </w:tc>
        <w:tc>
          <w:tcPr>
            <w:tcW w:w="2500" w:type="dxa"/>
          </w:tcPr>
          <w:p>
            <w:pPr>
              <w:pStyle w:val="0"/>
              <w:jc w:val="center"/>
            </w:pPr>
            <w:r>
              <w:rPr>
                <w:sz w:val="24"/>
              </w:rPr>
              <w:t xml:space="preserve">2</w:t>
            </w:r>
          </w:p>
        </w:tc>
        <w:tc>
          <w:tcPr>
            <w:tcW w:w="2500" w:type="dxa"/>
          </w:tcPr>
          <w:p>
            <w:pPr>
              <w:pStyle w:val="0"/>
              <w:jc w:val="center"/>
            </w:pPr>
            <w:r>
              <w:rPr>
                <w:sz w:val="24"/>
              </w:rPr>
              <w:t xml:space="preserve">REI 60</w:t>
            </w:r>
          </w:p>
        </w:tc>
        <w:tc>
          <w:tcPr>
            <w:tcW w:w="2500" w:type="dxa"/>
          </w:tcPr>
          <w:p>
            <w:pPr>
              <w:pStyle w:val="0"/>
              <w:jc w:val="center"/>
            </w:pPr>
            <w:r>
              <w:rPr>
                <w:sz w:val="24"/>
              </w:rPr>
              <w:t xml:space="preserve">2</w:t>
            </w:r>
          </w:p>
        </w:tc>
        <w:tc>
          <w:tcPr>
            <w:tcW w:w="1144" w:type="dxa"/>
          </w:tcPr>
          <w:p>
            <w:pPr>
              <w:pStyle w:val="0"/>
              <w:jc w:val="center"/>
            </w:pPr>
            <w:r>
              <w:rPr>
                <w:sz w:val="24"/>
              </w:rPr>
              <w:t xml:space="preserve">1</w:t>
            </w:r>
          </w:p>
        </w:tc>
      </w:tr>
      <w:tr>
        <w:tc>
          <w:tcPr>
            <w:vMerge w:val="continue"/>
          </w:tcPr>
          <w:p/>
        </w:tc>
        <w:tc>
          <w:tcPr>
            <w:tcW w:w="2500" w:type="dxa"/>
          </w:tcPr>
          <w:p>
            <w:pPr>
              <w:pStyle w:val="0"/>
              <w:jc w:val="center"/>
            </w:pPr>
            <w:r>
              <w:rPr>
                <w:sz w:val="24"/>
              </w:rPr>
              <w:t xml:space="preserve">3</w:t>
            </w:r>
          </w:p>
        </w:tc>
        <w:tc>
          <w:tcPr>
            <w:tcW w:w="2500" w:type="dxa"/>
          </w:tcPr>
          <w:p>
            <w:pPr>
              <w:pStyle w:val="0"/>
              <w:jc w:val="center"/>
            </w:pPr>
            <w:r>
              <w:rPr>
                <w:sz w:val="24"/>
              </w:rPr>
              <w:t xml:space="preserve">REI 45</w:t>
            </w:r>
          </w:p>
        </w:tc>
        <w:tc>
          <w:tcPr>
            <w:tcW w:w="2500" w:type="dxa"/>
          </w:tcPr>
          <w:p>
            <w:pPr>
              <w:pStyle w:val="0"/>
              <w:jc w:val="center"/>
            </w:pPr>
            <w:r>
              <w:rPr>
                <w:sz w:val="24"/>
              </w:rPr>
              <w:t xml:space="preserve">2</w:t>
            </w:r>
          </w:p>
        </w:tc>
        <w:tc>
          <w:tcPr>
            <w:tcW w:w="1144" w:type="dxa"/>
          </w:tcPr>
          <w:p>
            <w:pPr>
              <w:pStyle w:val="0"/>
              <w:jc w:val="center"/>
            </w:pPr>
            <w:r>
              <w:rPr>
                <w:sz w:val="24"/>
              </w:rPr>
              <w:t xml:space="preserve">1</w:t>
            </w:r>
          </w:p>
        </w:tc>
      </w:tr>
      <w:tr>
        <w:tc>
          <w:tcPr>
            <w:vMerge w:val="continue"/>
          </w:tcPr>
          <w:p/>
        </w:tc>
        <w:tc>
          <w:tcPr>
            <w:tcW w:w="2500" w:type="dxa"/>
          </w:tcPr>
          <w:p>
            <w:pPr>
              <w:pStyle w:val="0"/>
              <w:jc w:val="center"/>
            </w:pPr>
            <w:r>
              <w:rPr>
                <w:sz w:val="24"/>
              </w:rPr>
              <w:t xml:space="preserve">4</w:t>
            </w:r>
          </w:p>
        </w:tc>
        <w:tc>
          <w:tcPr>
            <w:tcW w:w="2500" w:type="dxa"/>
          </w:tcPr>
          <w:p>
            <w:pPr>
              <w:pStyle w:val="0"/>
              <w:jc w:val="center"/>
            </w:pPr>
            <w:r>
              <w:rPr>
                <w:sz w:val="24"/>
              </w:rPr>
              <w:t xml:space="preserve">REI 15</w:t>
            </w:r>
          </w:p>
        </w:tc>
        <w:tc>
          <w:tcPr>
            <w:tcW w:w="2500" w:type="dxa"/>
          </w:tcPr>
          <w:p>
            <w:pPr>
              <w:pStyle w:val="0"/>
              <w:jc w:val="center"/>
            </w:pPr>
            <w:r>
              <w:rPr>
                <w:sz w:val="24"/>
              </w:rPr>
              <w:t xml:space="preserve">3</w:t>
            </w:r>
          </w:p>
        </w:tc>
        <w:tc>
          <w:tcPr>
            <w:tcW w:w="1144" w:type="dxa"/>
          </w:tcPr>
          <w:p>
            <w:pPr>
              <w:pStyle w:val="0"/>
              <w:jc w:val="center"/>
            </w:pPr>
            <w:r>
              <w:rPr>
                <w:sz w:val="24"/>
              </w:rPr>
              <w:t xml:space="preserve">2</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ind w:firstLine="540"/>
        <w:jc w:val="both"/>
      </w:pPr>
      <w:r>
        <w:rPr>
          <w:sz w:val="24"/>
        </w:rPr>
      </w:r>
    </w:p>
    <w:p>
      <w:pPr>
        <w:pStyle w:val="0"/>
        <w:outlineLvl w:val="1"/>
        <w:jc w:val="center"/>
      </w:pPr>
      <w:r>
        <w:rPr>
          <w:sz w:val="24"/>
        </w:rPr>
        <w:t xml:space="preserve">Таблица 24</w:t>
      </w:r>
    </w:p>
    <w:p>
      <w:pPr>
        <w:pStyle w:val="0"/>
        <w:jc w:val="right"/>
      </w:pPr>
      <w:r>
        <w:rPr>
          <w:sz w:val="24"/>
        </w:rPr>
      </w:r>
    </w:p>
    <w:bookmarkStart w:id="3108" w:name="P3108"/>
    <w:bookmarkEnd w:id="3108"/>
    <w:p>
      <w:pPr>
        <w:pStyle w:val="2"/>
        <w:jc w:val="center"/>
      </w:pPr>
      <w:r>
        <w:rPr>
          <w:sz w:val="24"/>
        </w:rPr>
        <w:t xml:space="preserve">Пределы огнестойкости заполнения проемов</w:t>
      </w:r>
    </w:p>
    <w:p>
      <w:pPr>
        <w:pStyle w:val="2"/>
        <w:jc w:val="center"/>
      </w:pPr>
      <w:r>
        <w:rPr>
          <w:sz w:val="24"/>
        </w:rPr>
        <w:t xml:space="preserve">в противопожарных преградах</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2"/>
        <w:gridCol w:w="2615"/>
        <w:gridCol w:w="2267"/>
      </w:tblGrid>
      <w:tr>
        <w:tc>
          <w:tcPr>
            <w:tcW w:w="4082" w:type="dxa"/>
          </w:tcPr>
          <w:p>
            <w:pPr>
              <w:pStyle w:val="0"/>
              <w:jc w:val="center"/>
            </w:pPr>
            <w:r>
              <w:rPr>
                <w:sz w:val="24"/>
              </w:rPr>
              <w:t xml:space="preserve">Наименование элементов заполнения проемов в противопожарных преградах</w:t>
            </w:r>
          </w:p>
        </w:tc>
        <w:tc>
          <w:tcPr>
            <w:tcW w:w="2615" w:type="dxa"/>
          </w:tcPr>
          <w:p>
            <w:pPr>
              <w:pStyle w:val="0"/>
              <w:jc w:val="center"/>
            </w:pPr>
            <w:r>
              <w:rPr>
                <w:sz w:val="24"/>
              </w:rPr>
              <w:t xml:space="preserve">Тип заполнения проемов в противопожарных преградах</w:t>
            </w:r>
          </w:p>
        </w:tc>
        <w:tc>
          <w:tcPr>
            <w:tcW w:w="2267" w:type="dxa"/>
          </w:tcPr>
          <w:p>
            <w:pPr>
              <w:pStyle w:val="0"/>
              <w:jc w:val="center"/>
            </w:pPr>
            <w:r>
              <w:rPr>
                <w:sz w:val="24"/>
              </w:rPr>
              <w:t xml:space="preserve">Предел огнестойкости</w:t>
            </w:r>
          </w:p>
        </w:tc>
      </w:tr>
      <w:tr>
        <w:tc>
          <w:tcPr>
            <w:tcW w:w="4082" w:type="dxa"/>
            <w:vMerge w:val="restart"/>
          </w:tcPr>
          <w:p>
            <w:pPr>
              <w:pStyle w:val="0"/>
            </w:pPr>
            <w:r>
              <w:rPr>
                <w:sz w:val="24"/>
              </w:rPr>
              <w:t xml:space="preserve">Двери (за исключением дверей с остеклением более 25 процентов и дымогазонепроницаемых дверей), ворота, люки, клапаны, шторы и экраны</w:t>
            </w:r>
          </w:p>
        </w:tc>
        <w:tc>
          <w:tcPr>
            <w:tcW w:w="2615" w:type="dxa"/>
          </w:tcPr>
          <w:p>
            <w:pPr>
              <w:pStyle w:val="0"/>
              <w:jc w:val="center"/>
            </w:pPr>
            <w:r>
              <w:rPr>
                <w:sz w:val="24"/>
              </w:rPr>
              <w:t xml:space="preserve">1</w:t>
            </w:r>
          </w:p>
        </w:tc>
        <w:tc>
          <w:tcPr>
            <w:tcW w:w="2267" w:type="dxa"/>
          </w:tcPr>
          <w:p>
            <w:pPr>
              <w:pStyle w:val="0"/>
              <w:jc w:val="center"/>
            </w:pPr>
            <w:r>
              <w:rPr>
                <w:sz w:val="24"/>
              </w:rPr>
              <w:t xml:space="preserve">EI 60</w:t>
            </w:r>
          </w:p>
        </w:tc>
      </w:tr>
      <w:tr>
        <w:tc>
          <w:tcPr>
            <w:vMerge w:val="continue"/>
          </w:tcPr>
          <w:p/>
        </w:tc>
        <w:tc>
          <w:tcPr>
            <w:tcW w:w="2615" w:type="dxa"/>
          </w:tcPr>
          <w:p>
            <w:pPr>
              <w:pStyle w:val="0"/>
              <w:jc w:val="center"/>
            </w:pPr>
            <w:r>
              <w:rPr>
                <w:sz w:val="24"/>
              </w:rPr>
              <w:t xml:space="preserve">2</w:t>
            </w:r>
          </w:p>
        </w:tc>
        <w:tc>
          <w:tcPr>
            <w:tcW w:w="2267" w:type="dxa"/>
          </w:tcPr>
          <w:p>
            <w:pPr>
              <w:pStyle w:val="0"/>
              <w:jc w:val="center"/>
            </w:pPr>
            <w:r>
              <w:rPr>
                <w:sz w:val="24"/>
              </w:rPr>
              <w:t xml:space="preserve">EI 30</w:t>
            </w:r>
          </w:p>
        </w:tc>
      </w:tr>
      <w:tr>
        <w:tc>
          <w:tcPr>
            <w:vMerge w:val="continue"/>
          </w:tcPr>
          <w:p/>
        </w:tc>
        <w:tc>
          <w:tcPr>
            <w:tcW w:w="2615" w:type="dxa"/>
          </w:tcPr>
          <w:p>
            <w:pPr>
              <w:pStyle w:val="0"/>
              <w:jc w:val="center"/>
            </w:pPr>
            <w:r>
              <w:rPr>
                <w:sz w:val="24"/>
              </w:rPr>
              <w:t xml:space="preserve">3</w:t>
            </w:r>
          </w:p>
        </w:tc>
        <w:tc>
          <w:tcPr>
            <w:tcW w:w="2267" w:type="dxa"/>
          </w:tcPr>
          <w:p>
            <w:pPr>
              <w:pStyle w:val="0"/>
              <w:jc w:val="center"/>
            </w:pPr>
            <w:r>
              <w:rPr>
                <w:sz w:val="24"/>
              </w:rPr>
              <w:t xml:space="preserve">EI 15</w:t>
            </w:r>
          </w:p>
        </w:tc>
      </w:tr>
      <w:tr>
        <w:tc>
          <w:tcPr>
            <w:tcW w:w="4082" w:type="dxa"/>
            <w:vMerge w:val="restart"/>
          </w:tcPr>
          <w:p>
            <w:pPr>
              <w:pStyle w:val="0"/>
            </w:pPr>
            <w:r>
              <w:rPr>
                <w:sz w:val="24"/>
              </w:rPr>
              <w:t xml:space="preserve">Двери с остеклением более 25 процентов</w:t>
            </w:r>
          </w:p>
        </w:tc>
        <w:tc>
          <w:tcPr>
            <w:tcW w:w="2615" w:type="dxa"/>
          </w:tcPr>
          <w:p>
            <w:pPr>
              <w:pStyle w:val="0"/>
              <w:jc w:val="center"/>
            </w:pPr>
            <w:r>
              <w:rPr>
                <w:sz w:val="24"/>
              </w:rPr>
              <w:t xml:space="preserve">1</w:t>
            </w:r>
          </w:p>
        </w:tc>
        <w:tc>
          <w:tcPr>
            <w:tcW w:w="2267" w:type="dxa"/>
          </w:tcPr>
          <w:p>
            <w:pPr>
              <w:pStyle w:val="0"/>
              <w:jc w:val="center"/>
            </w:pPr>
            <w:r>
              <w:rPr>
                <w:sz w:val="24"/>
              </w:rPr>
              <w:t xml:space="preserve">EIW 60</w:t>
            </w:r>
          </w:p>
        </w:tc>
      </w:tr>
      <w:tr>
        <w:tc>
          <w:tcPr>
            <w:vMerge w:val="continue"/>
          </w:tcPr>
          <w:p/>
        </w:tc>
        <w:tc>
          <w:tcPr>
            <w:tcW w:w="2615" w:type="dxa"/>
          </w:tcPr>
          <w:p>
            <w:pPr>
              <w:pStyle w:val="0"/>
              <w:jc w:val="center"/>
            </w:pPr>
            <w:r>
              <w:rPr>
                <w:sz w:val="24"/>
              </w:rPr>
              <w:t xml:space="preserve">2</w:t>
            </w:r>
          </w:p>
        </w:tc>
        <w:tc>
          <w:tcPr>
            <w:tcW w:w="2267" w:type="dxa"/>
          </w:tcPr>
          <w:p>
            <w:pPr>
              <w:pStyle w:val="0"/>
              <w:jc w:val="center"/>
            </w:pPr>
            <w:r>
              <w:rPr>
                <w:sz w:val="24"/>
              </w:rPr>
              <w:t xml:space="preserve">EIW 30</w:t>
            </w:r>
          </w:p>
        </w:tc>
      </w:tr>
      <w:tr>
        <w:tc>
          <w:tcPr>
            <w:vMerge w:val="continue"/>
          </w:tcPr>
          <w:p/>
        </w:tc>
        <w:tc>
          <w:tcPr>
            <w:tcW w:w="2615" w:type="dxa"/>
          </w:tcPr>
          <w:p>
            <w:pPr>
              <w:pStyle w:val="0"/>
              <w:jc w:val="center"/>
            </w:pPr>
            <w:r>
              <w:rPr>
                <w:sz w:val="24"/>
              </w:rPr>
              <w:t xml:space="preserve">3</w:t>
            </w:r>
          </w:p>
        </w:tc>
        <w:tc>
          <w:tcPr>
            <w:tcW w:w="2267" w:type="dxa"/>
          </w:tcPr>
          <w:p>
            <w:pPr>
              <w:pStyle w:val="0"/>
              <w:jc w:val="center"/>
            </w:pPr>
            <w:r>
              <w:rPr>
                <w:sz w:val="24"/>
              </w:rPr>
              <w:t xml:space="preserve">EIW 15</w:t>
            </w:r>
          </w:p>
        </w:tc>
      </w:tr>
      <w:tr>
        <w:tc>
          <w:tcPr>
            <w:tcW w:w="4082" w:type="dxa"/>
            <w:vMerge w:val="restart"/>
          </w:tcPr>
          <w:p>
            <w:pPr>
              <w:pStyle w:val="0"/>
            </w:pPr>
            <w:r>
              <w:rPr>
                <w:sz w:val="24"/>
              </w:rPr>
              <w:t xml:space="preserve">Дымогазонепроницаемые двери (за исключением дверей с остеклением более 25 процентов)</w:t>
            </w:r>
          </w:p>
        </w:tc>
        <w:tc>
          <w:tcPr>
            <w:tcW w:w="2615" w:type="dxa"/>
          </w:tcPr>
          <w:p>
            <w:pPr>
              <w:pStyle w:val="0"/>
              <w:jc w:val="center"/>
            </w:pPr>
            <w:r>
              <w:rPr>
                <w:sz w:val="24"/>
              </w:rPr>
              <w:t xml:space="preserve">1</w:t>
            </w:r>
          </w:p>
        </w:tc>
        <w:tc>
          <w:tcPr>
            <w:tcW w:w="2267" w:type="dxa"/>
          </w:tcPr>
          <w:p>
            <w:pPr>
              <w:pStyle w:val="0"/>
              <w:jc w:val="center"/>
            </w:pPr>
            <w:r>
              <w:rPr>
                <w:sz w:val="24"/>
              </w:rPr>
              <w:t xml:space="preserve">EIS 60</w:t>
            </w:r>
          </w:p>
        </w:tc>
      </w:tr>
      <w:tr>
        <w:tc>
          <w:tcPr>
            <w:vMerge w:val="continue"/>
          </w:tcPr>
          <w:p/>
        </w:tc>
        <w:tc>
          <w:tcPr>
            <w:tcW w:w="2615" w:type="dxa"/>
          </w:tcPr>
          <w:p>
            <w:pPr>
              <w:pStyle w:val="0"/>
              <w:jc w:val="center"/>
            </w:pPr>
            <w:r>
              <w:rPr>
                <w:sz w:val="24"/>
              </w:rPr>
              <w:t xml:space="preserve">2</w:t>
            </w:r>
          </w:p>
        </w:tc>
        <w:tc>
          <w:tcPr>
            <w:tcW w:w="2267" w:type="dxa"/>
          </w:tcPr>
          <w:p>
            <w:pPr>
              <w:pStyle w:val="0"/>
              <w:jc w:val="center"/>
            </w:pPr>
            <w:r>
              <w:rPr>
                <w:sz w:val="24"/>
              </w:rPr>
              <w:t xml:space="preserve">EIS 30</w:t>
            </w:r>
          </w:p>
        </w:tc>
      </w:tr>
      <w:tr>
        <w:tc>
          <w:tcPr>
            <w:vMerge w:val="continue"/>
          </w:tcPr>
          <w:p/>
        </w:tc>
        <w:tc>
          <w:tcPr>
            <w:tcW w:w="2615" w:type="dxa"/>
          </w:tcPr>
          <w:p>
            <w:pPr>
              <w:pStyle w:val="0"/>
              <w:jc w:val="center"/>
            </w:pPr>
            <w:r>
              <w:rPr>
                <w:sz w:val="24"/>
              </w:rPr>
              <w:t xml:space="preserve">3</w:t>
            </w:r>
          </w:p>
        </w:tc>
        <w:tc>
          <w:tcPr>
            <w:tcW w:w="2267" w:type="dxa"/>
          </w:tcPr>
          <w:p>
            <w:pPr>
              <w:pStyle w:val="0"/>
              <w:jc w:val="center"/>
            </w:pPr>
            <w:r>
              <w:rPr>
                <w:sz w:val="24"/>
              </w:rPr>
              <w:t xml:space="preserve">EIS 15</w:t>
            </w:r>
          </w:p>
        </w:tc>
      </w:tr>
      <w:tr>
        <w:tc>
          <w:tcPr>
            <w:tcW w:w="4082" w:type="dxa"/>
            <w:vMerge w:val="restart"/>
          </w:tcPr>
          <w:p>
            <w:pPr>
              <w:pStyle w:val="0"/>
            </w:pPr>
            <w:r>
              <w:rPr>
                <w:sz w:val="24"/>
              </w:rPr>
              <w:t xml:space="preserve">Дымогазонепроницаемые двери с остеклением более 25 процентов, шторы и экраны</w:t>
            </w:r>
          </w:p>
        </w:tc>
        <w:tc>
          <w:tcPr>
            <w:tcW w:w="2615" w:type="dxa"/>
          </w:tcPr>
          <w:p>
            <w:pPr>
              <w:pStyle w:val="0"/>
              <w:jc w:val="center"/>
            </w:pPr>
            <w:r>
              <w:rPr>
                <w:sz w:val="24"/>
              </w:rPr>
              <w:t xml:space="preserve">1</w:t>
            </w:r>
          </w:p>
        </w:tc>
        <w:tc>
          <w:tcPr>
            <w:tcW w:w="2267" w:type="dxa"/>
          </w:tcPr>
          <w:p>
            <w:pPr>
              <w:pStyle w:val="0"/>
              <w:jc w:val="center"/>
            </w:pPr>
            <w:r>
              <w:rPr>
                <w:sz w:val="24"/>
              </w:rPr>
              <w:t xml:space="preserve">EIWS 60</w:t>
            </w:r>
          </w:p>
        </w:tc>
      </w:tr>
      <w:tr>
        <w:tc>
          <w:tcPr>
            <w:vMerge w:val="continue"/>
          </w:tcPr>
          <w:p/>
        </w:tc>
        <w:tc>
          <w:tcPr>
            <w:tcW w:w="2615" w:type="dxa"/>
          </w:tcPr>
          <w:p>
            <w:pPr>
              <w:pStyle w:val="0"/>
              <w:jc w:val="center"/>
            </w:pPr>
            <w:r>
              <w:rPr>
                <w:sz w:val="24"/>
              </w:rPr>
              <w:t xml:space="preserve">2</w:t>
            </w:r>
          </w:p>
        </w:tc>
        <w:tc>
          <w:tcPr>
            <w:tcW w:w="2267" w:type="dxa"/>
          </w:tcPr>
          <w:p>
            <w:pPr>
              <w:pStyle w:val="0"/>
              <w:jc w:val="center"/>
            </w:pPr>
            <w:r>
              <w:rPr>
                <w:sz w:val="24"/>
              </w:rPr>
              <w:t xml:space="preserve">EIWS 30</w:t>
            </w:r>
          </w:p>
        </w:tc>
      </w:tr>
      <w:tr>
        <w:tc>
          <w:tcPr>
            <w:vMerge w:val="continue"/>
          </w:tcPr>
          <w:p/>
        </w:tc>
        <w:tc>
          <w:tcPr>
            <w:tcW w:w="2615" w:type="dxa"/>
          </w:tcPr>
          <w:p>
            <w:pPr>
              <w:pStyle w:val="0"/>
              <w:jc w:val="center"/>
            </w:pPr>
            <w:r>
              <w:rPr>
                <w:sz w:val="24"/>
              </w:rPr>
              <w:t xml:space="preserve">3</w:t>
            </w:r>
          </w:p>
        </w:tc>
        <w:tc>
          <w:tcPr>
            <w:tcW w:w="2267" w:type="dxa"/>
          </w:tcPr>
          <w:p>
            <w:pPr>
              <w:pStyle w:val="0"/>
              <w:jc w:val="center"/>
            </w:pPr>
            <w:r>
              <w:rPr>
                <w:sz w:val="24"/>
              </w:rPr>
              <w:t xml:space="preserve">EIWS 15</w:t>
            </w:r>
          </w:p>
        </w:tc>
      </w:tr>
      <w:tr>
        <w:tblPrEx>
          <w:tblBorders>
            <w:insideH w:val="nil"/>
          </w:tblBorders>
        </w:tblPrEx>
        <w:tc>
          <w:tcPr>
            <w:tcW w:w="4082" w:type="dxa"/>
            <w:tcBorders>
              <w:bottom w:val="nil"/>
            </w:tcBorders>
          </w:tcPr>
          <w:p>
            <w:pPr>
              <w:pStyle w:val="0"/>
            </w:pPr>
            <w:r>
              <w:rPr>
                <w:sz w:val="24"/>
              </w:rPr>
              <w:t xml:space="preserve">Двери шахт лифтов (при условии, что к ним устанавливаются требования по пределам огнестойкости)</w:t>
            </w:r>
          </w:p>
        </w:tc>
        <w:tc>
          <w:tcPr>
            <w:tcW w:w="2615" w:type="dxa"/>
            <w:tcBorders>
              <w:bottom w:val="nil"/>
            </w:tcBorders>
          </w:tcPr>
          <w:p>
            <w:pPr>
              <w:pStyle w:val="0"/>
              <w:jc w:val="center"/>
            </w:pPr>
            <w:r>
              <w:rPr>
                <w:sz w:val="24"/>
              </w:rPr>
              <w:t xml:space="preserve">2</w:t>
            </w:r>
          </w:p>
        </w:tc>
        <w:tc>
          <w:tcPr>
            <w:tcW w:w="2267" w:type="dxa"/>
            <w:tcBorders>
              <w:bottom w:val="nil"/>
            </w:tcBorders>
          </w:tcPr>
          <w:p>
            <w:pPr>
              <w:pStyle w:val="0"/>
              <w:jc w:val="center"/>
            </w:pPr>
            <w:r>
              <w:rPr>
                <w:sz w:val="24"/>
              </w:rPr>
              <w:t xml:space="preserve">EI 30 (в зданиях высотой не более 28 метров предел огнестойкости дверей шахт лифтов принимается E 30)</w:t>
            </w:r>
          </w:p>
        </w:tc>
      </w:tr>
      <w:tr>
        <w:tblPrEx>
          <w:tblBorders>
            <w:insideH w:val="nil"/>
          </w:tblBorders>
        </w:tblPrEx>
        <w:tc>
          <w:tcPr>
            <w:gridSpan w:val="3"/>
            <w:tcW w:w="8964" w:type="dxa"/>
            <w:tcBorders>
              <w:top w:val="nil"/>
            </w:tcBorders>
          </w:tcPr>
          <w:p>
            <w:pPr>
              <w:pStyle w:val="0"/>
              <w:jc w:val="both"/>
            </w:pPr>
            <w:r>
              <w:rPr>
                <w:sz w:val="24"/>
              </w:rPr>
              <w:t xml:space="preserve">(в ред. Федерального </w:t>
            </w:r>
            <w:r>
              <w:rPr>
                <w:sz w:val="24"/>
              </w:rPr>
              <w:t xml:space="preserve">закона</w:t>
            </w:r>
            <w:r>
              <w:rPr>
                <w:sz w:val="24"/>
              </w:rPr>
              <w:t xml:space="preserve"> от 29.07.2017 N 244-ФЗ)</w:t>
            </w:r>
          </w:p>
        </w:tc>
      </w:tr>
      <w:tr>
        <w:tc>
          <w:tcPr>
            <w:tcW w:w="4082" w:type="dxa"/>
            <w:vMerge w:val="restart"/>
          </w:tcPr>
          <w:p>
            <w:pPr>
              <w:pStyle w:val="0"/>
            </w:pPr>
            <w:r>
              <w:rPr>
                <w:sz w:val="24"/>
              </w:rPr>
              <w:t xml:space="preserve">Окна</w:t>
            </w:r>
          </w:p>
        </w:tc>
        <w:tc>
          <w:tcPr>
            <w:tcW w:w="2615" w:type="dxa"/>
          </w:tcPr>
          <w:p>
            <w:pPr>
              <w:pStyle w:val="0"/>
              <w:jc w:val="center"/>
            </w:pPr>
            <w:r>
              <w:rPr>
                <w:sz w:val="24"/>
              </w:rPr>
              <w:t xml:space="preserve">1</w:t>
            </w:r>
          </w:p>
        </w:tc>
        <w:tc>
          <w:tcPr>
            <w:tcW w:w="2267" w:type="dxa"/>
          </w:tcPr>
          <w:p>
            <w:pPr>
              <w:pStyle w:val="0"/>
              <w:jc w:val="center"/>
            </w:pPr>
            <w:r>
              <w:rPr>
                <w:sz w:val="24"/>
              </w:rPr>
              <w:t xml:space="preserve">E 60</w:t>
            </w:r>
          </w:p>
        </w:tc>
      </w:tr>
      <w:tr>
        <w:tc>
          <w:tcPr>
            <w:vMerge w:val="continue"/>
          </w:tcPr>
          <w:p/>
        </w:tc>
        <w:tc>
          <w:tcPr>
            <w:tcW w:w="2615" w:type="dxa"/>
          </w:tcPr>
          <w:p>
            <w:pPr>
              <w:pStyle w:val="0"/>
              <w:jc w:val="center"/>
            </w:pPr>
            <w:r>
              <w:rPr>
                <w:sz w:val="24"/>
              </w:rPr>
              <w:t xml:space="preserve">2</w:t>
            </w:r>
          </w:p>
        </w:tc>
        <w:tc>
          <w:tcPr>
            <w:tcW w:w="2267" w:type="dxa"/>
          </w:tcPr>
          <w:p>
            <w:pPr>
              <w:pStyle w:val="0"/>
              <w:jc w:val="center"/>
            </w:pPr>
            <w:r>
              <w:rPr>
                <w:sz w:val="24"/>
              </w:rPr>
              <w:t xml:space="preserve">E 30</w:t>
            </w:r>
          </w:p>
        </w:tc>
      </w:tr>
      <w:tr>
        <w:tc>
          <w:tcPr>
            <w:vMerge w:val="continue"/>
          </w:tcPr>
          <w:p/>
        </w:tc>
        <w:tc>
          <w:tcPr>
            <w:tcW w:w="2615" w:type="dxa"/>
          </w:tcPr>
          <w:p>
            <w:pPr>
              <w:pStyle w:val="0"/>
              <w:jc w:val="center"/>
            </w:pPr>
            <w:r>
              <w:rPr>
                <w:sz w:val="24"/>
              </w:rPr>
              <w:t xml:space="preserve">3</w:t>
            </w:r>
          </w:p>
        </w:tc>
        <w:tc>
          <w:tcPr>
            <w:tcW w:w="2267" w:type="dxa"/>
          </w:tcPr>
          <w:p>
            <w:pPr>
              <w:pStyle w:val="0"/>
              <w:jc w:val="center"/>
            </w:pPr>
            <w:r>
              <w:rPr>
                <w:sz w:val="24"/>
              </w:rPr>
              <w:t xml:space="preserve">E 15</w:t>
            </w:r>
          </w:p>
        </w:tc>
      </w:tr>
      <w:tr>
        <w:tc>
          <w:tcPr>
            <w:tcW w:w="4082" w:type="dxa"/>
          </w:tcPr>
          <w:p>
            <w:pPr>
              <w:pStyle w:val="0"/>
            </w:pPr>
            <w:r>
              <w:rPr>
                <w:sz w:val="24"/>
              </w:rPr>
              <w:t xml:space="preserve">Занавесы</w:t>
            </w:r>
          </w:p>
        </w:tc>
        <w:tc>
          <w:tcPr>
            <w:tcW w:w="2615" w:type="dxa"/>
          </w:tcPr>
          <w:p>
            <w:pPr>
              <w:pStyle w:val="0"/>
              <w:jc w:val="center"/>
            </w:pPr>
            <w:r>
              <w:rPr>
                <w:sz w:val="24"/>
              </w:rPr>
              <w:t xml:space="preserve">1</w:t>
            </w:r>
          </w:p>
        </w:tc>
        <w:tc>
          <w:tcPr>
            <w:tcW w:w="2267" w:type="dxa"/>
          </w:tcPr>
          <w:p>
            <w:pPr>
              <w:pStyle w:val="0"/>
              <w:jc w:val="center"/>
            </w:pPr>
            <w:r>
              <w:rPr>
                <w:sz w:val="24"/>
              </w:rPr>
              <w:t xml:space="preserve">EI 60</w:t>
            </w:r>
          </w:p>
        </w:tc>
      </w:tr>
    </w:tbl>
    <w:p>
      <w:pPr>
        <w:pStyle w:val="0"/>
        <w:ind w:firstLine="540"/>
        <w:jc w:val="both"/>
      </w:pPr>
      <w:r>
        <w:rPr>
          <w:sz w:val="24"/>
        </w:rPr>
      </w:r>
    </w:p>
    <w:p>
      <w:pPr>
        <w:pStyle w:val="0"/>
        <w:outlineLvl w:val="1"/>
        <w:jc w:val="center"/>
      </w:pPr>
      <w:r>
        <w:rPr>
          <w:sz w:val="24"/>
        </w:rPr>
        <w:t xml:space="preserve">Таблица 25</w:t>
      </w:r>
    </w:p>
    <w:p>
      <w:pPr>
        <w:pStyle w:val="0"/>
        <w:ind w:firstLine="540"/>
        <w:jc w:val="both"/>
      </w:pPr>
      <w:r>
        <w:rPr>
          <w:sz w:val="24"/>
        </w:rPr>
      </w:r>
    </w:p>
    <w:bookmarkStart w:id="3159" w:name="P3159"/>
    <w:bookmarkEnd w:id="3159"/>
    <w:p>
      <w:pPr>
        <w:pStyle w:val="2"/>
        <w:jc w:val="center"/>
      </w:pPr>
      <w:r>
        <w:rPr>
          <w:sz w:val="24"/>
        </w:rPr>
        <w:t xml:space="preserve">Требования к элементам тамбур-шлюза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75"/>
        <w:gridCol w:w="2184"/>
        <w:gridCol w:w="2200"/>
        <w:gridCol w:w="2605"/>
      </w:tblGrid>
      <w:tr>
        <w:tc>
          <w:tcPr>
            <w:tcW w:w="1975" w:type="dxa"/>
            <w:vMerge w:val="restart"/>
          </w:tcPr>
          <w:p>
            <w:pPr>
              <w:pStyle w:val="0"/>
              <w:jc w:val="center"/>
            </w:pPr>
            <w:r>
              <w:rPr>
                <w:sz w:val="24"/>
              </w:rPr>
              <w:t xml:space="preserve">Тип тамбур-шлюза</w:t>
            </w:r>
          </w:p>
        </w:tc>
        <w:tc>
          <w:tcPr>
            <w:gridSpan w:val="3"/>
            <w:tcW w:w="6989" w:type="dxa"/>
          </w:tcPr>
          <w:p>
            <w:pPr>
              <w:pStyle w:val="0"/>
              <w:jc w:val="center"/>
            </w:pPr>
            <w:r>
              <w:rPr>
                <w:sz w:val="24"/>
              </w:rPr>
              <w:t xml:space="preserve">Типы элементов тамбур-шлюза</w:t>
            </w:r>
          </w:p>
        </w:tc>
      </w:tr>
      <w:tr>
        <w:tc>
          <w:tcPr>
            <w:vMerge w:val="continue"/>
          </w:tcPr>
          <w:p/>
        </w:tc>
        <w:tc>
          <w:tcPr>
            <w:tcW w:w="2184" w:type="dxa"/>
          </w:tcPr>
          <w:p>
            <w:pPr>
              <w:pStyle w:val="0"/>
              <w:jc w:val="center"/>
            </w:pPr>
            <w:r>
              <w:rPr>
                <w:sz w:val="24"/>
              </w:rPr>
              <w:t xml:space="preserve">Перегородки</w:t>
            </w:r>
          </w:p>
        </w:tc>
        <w:tc>
          <w:tcPr>
            <w:tcW w:w="2200" w:type="dxa"/>
          </w:tcPr>
          <w:p>
            <w:pPr>
              <w:pStyle w:val="0"/>
              <w:jc w:val="center"/>
            </w:pPr>
            <w:r>
              <w:rPr>
                <w:sz w:val="24"/>
              </w:rPr>
              <w:t xml:space="preserve">Перекрытия</w:t>
            </w:r>
          </w:p>
        </w:tc>
        <w:tc>
          <w:tcPr>
            <w:tcW w:w="2605" w:type="dxa"/>
          </w:tcPr>
          <w:p>
            <w:pPr>
              <w:pStyle w:val="0"/>
              <w:jc w:val="center"/>
            </w:pPr>
            <w:r>
              <w:rPr>
                <w:sz w:val="24"/>
              </w:rPr>
              <w:t xml:space="preserve">Заполнение проемов</w:t>
            </w:r>
          </w:p>
        </w:tc>
      </w:tr>
      <w:tr>
        <w:tc>
          <w:tcPr>
            <w:tcW w:w="1975" w:type="dxa"/>
          </w:tcPr>
          <w:p>
            <w:pPr>
              <w:pStyle w:val="0"/>
              <w:jc w:val="center"/>
            </w:pPr>
            <w:r>
              <w:rPr>
                <w:sz w:val="24"/>
              </w:rPr>
              <w:t xml:space="preserve">1</w:t>
            </w:r>
          </w:p>
        </w:tc>
        <w:tc>
          <w:tcPr>
            <w:tcW w:w="2184" w:type="dxa"/>
          </w:tcPr>
          <w:p>
            <w:pPr>
              <w:pStyle w:val="0"/>
              <w:jc w:val="center"/>
            </w:pPr>
            <w:r>
              <w:rPr>
                <w:sz w:val="24"/>
              </w:rPr>
              <w:t xml:space="preserve">1</w:t>
            </w:r>
          </w:p>
        </w:tc>
        <w:tc>
          <w:tcPr>
            <w:tcW w:w="2200" w:type="dxa"/>
          </w:tcPr>
          <w:p>
            <w:pPr>
              <w:pStyle w:val="0"/>
              <w:jc w:val="center"/>
            </w:pPr>
            <w:r>
              <w:rPr>
                <w:sz w:val="24"/>
              </w:rPr>
              <w:t xml:space="preserve">3</w:t>
            </w:r>
          </w:p>
        </w:tc>
        <w:tc>
          <w:tcPr>
            <w:tcW w:w="2605" w:type="dxa"/>
          </w:tcPr>
          <w:p>
            <w:pPr>
              <w:pStyle w:val="0"/>
              <w:jc w:val="center"/>
            </w:pPr>
            <w:r>
              <w:rPr>
                <w:sz w:val="24"/>
              </w:rPr>
              <w:t xml:space="preserve">2</w:t>
            </w:r>
          </w:p>
        </w:tc>
      </w:tr>
      <w:tr>
        <w:tc>
          <w:tcPr>
            <w:tcW w:w="1975" w:type="dxa"/>
          </w:tcPr>
          <w:p>
            <w:pPr>
              <w:pStyle w:val="0"/>
              <w:jc w:val="center"/>
            </w:pPr>
            <w:r>
              <w:rPr>
                <w:sz w:val="24"/>
              </w:rPr>
              <w:t xml:space="preserve">2</w:t>
            </w:r>
          </w:p>
        </w:tc>
        <w:tc>
          <w:tcPr>
            <w:tcW w:w="2184" w:type="dxa"/>
          </w:tcPr>
          <w:p>
            <w:pPr>
              <w:pStyle w:val="0"/>
              <w:jc w:val="center"/>
            </w:pPr>
            <w:r>
              <w:rPr>
                <w:sz w:val="24"/>
              </w:rPr>
              <w:t xml:space="preserve">2</w:t>
            </w:r>
          </w:p>
        </w:tc>
        <w:tc>
          <w:tcPr>
            <w:tcW w:w="2200" w:type="dxa"/>
          </w:tcPr>
          <w:p>
            <w:pPr>
              <w:pStyle w:val="0"/>
              <w:jc w:val="center"/>
            </w:pPr>
            <w:r>
              <w:rPr>
                <w:sz w:val="24"/>
              </w:rPr>
              <w:t xml:space="preserve">4</w:t>
            </w:r>
          </w:p>
        </w:tc>
        <w:tc>
          <w:tcPr>
            <w:tcW w:w="2605" w:type="dxa"/>
          </w:tcPr>
          <w:p>
            <w:pPr>
              <w:pStyle w:val="0"/>
              <w:jc w:val="center"/>
            </w:pPr>
            <w:r>
              <w:rPr>
                <w:sz w:val="24"/>
              </w:rPr>
              <w:t xml:space="preserve">3</w:t>
            </w:r>
          </w:p>
        </w:tc>
      </w:tr>
    </w:tbl>
    <w:p>
      <w:pPr>
        <w:pStyle w:val="0"/>
        <w:ind w:firstLine="540"/>
        <w:jc w:val="both"/>
      </w:pPr>
      <w:r>
        <w:rPr>
          <w:sz w:val="24"/>
        </w:rPr>
      </w:r>
    </w:p>
    <w:p>
      <w:pPr>
        <w:pStyle w:val="0"/>
        <w:outlineLvl w:val="1"/>
        <w:jc w:val="center"/>
      </w:pPr>
      <w:r>
        <w:rPr>
          <w:sz w:val="24"/>
        </w:rPr>
        <w:t xml:space="preserve">Таблица 26</w:t>
      </w:r>
    </w:p>
    <w:p>
      <w:pPr>
        <w:pStyle w:val="0"/>
        <w:jc w:val="right"/>
      </w:pPr>
      <w:r>
        <w:rPr>
          <w:sz w:val="24"/>
        </w:rPr>
      </w:r>
    </w:p>
    <w:p>
      <w:pPr>
        <w:pStyle w:val="2"/>
        <w:jc w:val="center"/>
      </w:pPr>
      <w:r>
        <w:rPr>
          <w:sz w:val="24"/>
        </w:rPr>
        <w:t xml:space="preserve">Нормы комплектации многофункциональных интегрированных</w:t>
      </w:r>
    </w:p>
    <w:p>
      <w:pPr>
        <w:pStyle w:val="2"/>
        <w:jc w:val="center"/>
      </w:pPr>
      <w:r>
        <w:rPr>
          <w:sz w:val="24"/>
        </w:rPr>
        <w:t xml:space="preserve">пожарных шкафов</w:t>
      </w:r>
    </w:p>
    <w:p>
      <w:pPr>
        <w:pStyle w:val="0"/>
        <w:ind w:firstLine="540"/>
        <w:jc w:val="both"/>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10.07.2012 N 117-ФЗ.</w:t>
      </w:r>
    </w:p>
    <w:p>
      <w:pPr>
        <w:pStyle w:val="0"/>
        <w:ind w:firstLine="540"/>
        <w:jc w:val="both"/>
      </w:pPr>
      <w:r>
        <w:rPr>
          <w:sz w:val="24"/>
        </w:rPr>
      </w:r>
    </w:p>
    <w:p>
      <w:pPr>
        <w:pStyle w:val="0"/>
        <w:outlineLvl w:val="1"/>
        <w:jc w:val="center"/>
      </w:pPr>
      <w:r>
        <w:rPr>
          <w:sz w:val="24"/>
        </w:rPr>
        <w:t xml:space="preserve">Таблица 27</w:t>
      </w:r>
    </w:p>
    <w:p>
      <w:pPr>
        <w:pStyle w:val="0"/>
        <w:jc w:val="right"/>
      </w:pPr>
      <w:r>
        <w:rPr>
          <w:sz w:val="24"/>
        </w:rPr>
      </w:r>
    </w:p>
    <w:bookmarkStart w:id="3184" w:name="P3184"/>
    <w:bookmarkEnd w:id="3184"/>
    <w:p>
      <w:pPr>
        <w:pStyle w:val="2"/>
        <w:jc w:val="center"/>
      </w:pPr>
      <w:r>
        <w:rPr>
          <w:sz w:val="24"/>
        </w:rPr>
        <w:t xml:space="preserve">Перечень показателей, необходимых для оценки</w:t>
      </w:r>
    </w:p>
    <w:p>
      <w:pPr>
        <w:pStyle w:val="2"/>
        <w:jc w:val="center"/>
      </w:pPr>
      <w:r>
        <w:rPr>
          <w:sz w:val="24"/>
        </w:rPr>
        <w:t xml:space="preserve">пожарной опасности строительных материалов</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10.07.2012 N 117-ФЗ)</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1360"/>
        <w:gridCol w:w="1360"/>
        <w:gridCol w:w="1360"/>
        <w:gridCol w:w="1360"/>
        <w:gridCol w:w="1361"/>
      </w:tblGrid>
      <w:tr>
        <w:tc>
          <w:tcPr>
            <w:tcW w:w="2268" w:type="dxa"/>
            <w:vMerge w:val="restart"/>
          </w:tcPr>
          <w:p>
            <w:pPr>
              <w:pStyle w:val="0"/>
              <w:jc w:val="center"/>
            </w:pPr>
            <w:r>
              <w:rPr>
                <w:sz w:val="24"/>
              </w:rPr>
              <w:t xml:space="preserve">Назначение строительных материалов</w:t>
            </w:r>
          </w:p>
        </w:tc>
        <w:tc>
          <w:tcPr>
            <w:gridSpan w:val="5"/>
            <w:tcW w:w="6801" w:type="dxa"/>
          </w:tcPr>
          <w:p>
            <w:pPr>
              <w:pStyle w:val="0"/>
              <w:jc w:val="center"/>
            </w:pPr>
            <w:r>
              <w:rPr>
                <w:sz w:val="24"/>
              </w:rPr>
              <w:t xml:space="preserve">Перечень необходимых показателей в зависимости от назначения строительных материалов</w:t>
            </w:r>
          </w:p>
        </w:tc>
      </w:tr>
      <w:tr>
        <w:tc>
          <w:tcPr>
            <w:vMerge w:val="continue"/>
          </w:tcPr>
          <w:p/>
        </w:tc>
        <w:tc>
          <w:tcPr>
            <w:tcW w:w="1360" w:type="dxa"/>
          </w:tcPr>
          <w:p>
            <w:pPr>
              <w:pStyle w:val="0"/>
              <w:jc w:val="center"/>
            </w:pPr>
            <w:r>
              <w:rPr>
                <w:sz w:val="24"/>
              </w:rPr>
              <w:t xml:space="preserve">группа горючести</w:t>
            </w:r>
          </w:p>
        </w:tc>
        <w:tc>
          <w:tcPr>
            <w:tcW w:w="1360" w:type="dxa"/>
          </w:tcPr>
          <w:p>
            <w:pPr>
              <w:pStyle w:val="0"/>
              <w:jc w:val="center"/>
            </w:pPr>
            <w:r>
              <w:rPr>
                <w:sz w:val="24"/>
              </w:rPr>
              <w:t xml:space="preserve">группа распространения пламени</w:t>
            </w:r>
          </w:p>
        </w:tc>
        <w:tc>
          <w:tcPr>
            <w:tcW w:w="1360" w:type="dxa"/>
          </w:tcPr>
          <w:p>
            <w:pPr>
              <w:pStyle w:val="0"/>
              <w:jc w:val="center"/>
            </w:pPr>
            <w:r>
              <w:rPr>
                <w:sz w:val="24"/>
              </w:rPr>
              <w:t xml:space="preserve">группа воспламеняемости</w:t>
            </w:r>
          </w:p>
        </w:tc>
        <w:tc>
          <w:tcPr>
            <w:tcW w:w="1360" w:type="dxa"/>
          </w:tcPr>
          <w:p>
            <w:pPr>
              <w:pStyle w:val="0"/>
              <w:jc w:val="center"/>
            </w:pPr>
            <w:r>
              <w:rPr>
                <w:sz w:val="24"/>
              </w:rPr>
              <w:t xml:space="preserve">группа по дымообразующей способности</w:t>
            </w:r>
          </w:p>
        </w:tc>
        <w:tc>
          <w:tcPr>
            <w:tcW w:w="1361" w:type="dxa"/>
          </w:tcPr>
          <w:p>
            <w:pPr>
              <w:pStyle w:val="0"/>
              <w:jc w:val="center"/>
            </w:pPr>
            <w:r>
              <w:rPr>
                <w:sz w:val="24"/>
              </w:rPr>
              <w:t xml:space="preserve">группа по токсичности продуктов горения</w:t>
            </w:r>
          </w:p>
        </w:tc>
      </w:tr>
      <w:tr>
        <w:tc>
          <w:tcPr>
            <w:tcW w:w="2268" w:type="dxa"/>
          </w:tcPr>
          <w:p>
            <w:pPr>
              <w:pStyle w:val="0"/>
            </w:pPr>
            <w:r>
              <w:rPr>
                <w:sz w:val="24"/>
              </w:rPr>
              <w:t xml:space="preserve">Материалы для отделки стен и потолков, в том числе покрытия из красок, эмалей, лаков</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Материалы для покрытия полов, в том числе ковровые</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Кровельные материалы</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Гидроизоляционные и пароизоляционные материалы толщиной более 0,2 миллиметра</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Теплоизоляционные материалы</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Примечания: 1. Знак "+" обозначает, что показатель необходимо применять.</w:t>
      </w:r>
    </w:p>
    <w:p>
      <w:pPr>
        <w:pStyle w:val="0"/>
        <w:spacing w:before="240" w:line-rule="auto"/>
        <w:ind w:firstLine="540"/>
        <w:jc w:val="both"/>
      </w:pPr>
      <w:r>
        <w:rPr>
          <w:sz w:val="24"/>
        </w:rPr>
        <w:t xml:space="preserve">2. Знак "-" обозначает, что показатель не применяется.</w:t>
      </w:r>
    </w:p>
    <w:p>
      <w:pPr>
        <w:pStyle w:val="0"/>
        <w:spacing w:before="240" w:line-rule="auto"/>
        <w:ind w:firstLine="540"/>
        <w:jc w:val="both"/>
      </w:pPr>
      <w:r>
        <w:rPr>
          <w:sz w:val="24"/>
        </w:rPr>
        <w:t xml:space="preserve">3. При применении гидроизоляционных материалов для поверхностного слоя кровли показатели их пожарной опасности следует определять по позиции "Кровельные материалы".</w:t>
      </w:r>
    </w:p>
    <w:p>
      <w:pPr>
        <w:pStyle w:val="0"/>
        <w:ind w:firstLine="540"/>
        <w:jc w:val="both"/>
      </w:pPr>
      <w:r>
        <w:rPr>
          <w:sz w:val="24"/>
        </w:rPr>
      </w:r>
    </w:p>
    <w:p>
      <w:pPr>
        <w:pStyle w:val="0"/>
        <w:outlineLvl w:val="1"/>
        <w:jc w:val="center"/>
      </w:pPr>
      <w:r>
        <w:rPr>
          <w:sz w:val="24"/>
        </w:rPr>
        <w:t xml:space="preserve">Таблица 28</w:t>
      </w:r>
    </w:p>
    <w:p>
      <w:pPr>
        <w:pStyle w:val="0"/>
        <w:jc w:val="right"/>
      </w:pPr>
      <w:r>
        <w:rPr>
          <w:sz w:val="24"/>
        </w:rPr>
      </w:r>
    </w:p>
    <w:bookmarkStart w:id="3233" w:name="P3233"/>
    <w:bookmarkEnd w:id="3233"/>
    <w:p>
      <w:pPr>
        <w:pStyle w:val="2"/>
        <w:jc w:val="center"/>
      </w:pPr>
      <w:r>
        <w:rPr>
          <w:sz w:val="24"/>
        </w:rPr>
        <w:t xml:space="preserve">Область применения декоративно-отделочных, облицовочных</w:t>
      </w:r>
    </w:p>
    <w:p>
      <w:pPr>
        <w:pStyle w:val="2"/>
        <w:jc w:val="center"/>
      </w:pPr>
      <w:r>
        <w:rPr>
          <w:sz w:val="24"/>
        </w:rPr>
        <w:t xml:space="preserve">материалов и покрытий полов на путях эвакуации</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14.07.2022 N 276-ФЗ)</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732"/>
        <w:gridCol w:w="1333"/>
        <w:gridCol w:w="1333"/>
        <w:gridCol w:w="1333"/>
        <w:gridCol w:w="1335"/>
      </w:tblGrid>
      <w:tr>
        <w:tc>
          <w:tcPr>
            <w:tcW w:w="1984" w:type="dxa"/>
            <w:vMerge w:val="restart"/>
          </w:tcPr>
          <w:p>
            <w:pPr>
              <w:pStyle w:val="0"/>
              <w:jc w:val="center"/>
            </w:pPr>
            <w:r>
              <w:rPr>
                <w:sz w:val="24"/>
              </w:rPr>
              <w:t xml:space="preserve">Класс функциональной пожарной опасности здания</w:t>
            </w:r>
          </w:p>
        </w:tc>
        <w:tc>
          <w:tcPr>
            <w:tcW w:w="1732" w:type="dxa"/>
            <w:vMerge w:val="restart"/>
          </w:tcPr>
          <w:p>
            <w:pPr>
              <w:pStyle w:val="0"/>
              <w:jc w:val="center"/>
            </w:pPr>
            <w:r>
              <w:rPr>
                <w:sz w:val="24"/>
              </w:rPr>
              <w:t xml:space="preserve">Этажность и высота здания</w:t>
            </w:r>
          </w:p>
        </w:tc>
        <w:tc>
          <w:tcPr>
            <w:gridSpan w:val="4"/>
            <w:tcW w:w="5334" w:type="dxa"/>
          </w:tcPr>
          <w:p>
            <w:pPr>
              <w:pStyle w:val="0"/>
              <w:jc w:val="center"/>
            </w:pPr>
            <w:r>
              <w:rPr>
                <w:sz w:val="24"/>
              </w:rPr>
              <w:t xml:space="preserve">Показатели пожарной опасности, не более указанных</w:t>
            </w:r>
          </w:p>
        </w:tc>
      </w:tr>
      <w:tr>
        <w:tc>
          <w:tcPr>
            <w:vMerge w:val="continue"/>
          </w:tcPr>
          <w:p/>
        </w:tc>
        <w:tc>
          <w:tcPr>
            <w:vMerge w:val="continue"/>
          </w:tcPr>
          <w:p/>
        </w:tc>
        <w:tc>
          <w:tcPr>
            <w:gridSpan w:val="2"/>
            <w:tcW w:w="2666" w:type="dxa"/>
          </w:tcPr>
          <w:p>
            <w:pPr>
              <w:pStyle w:val="0"/>
              <w:jc w:val="center"/>
            </w:pPr>
            <w:r>
              <w:rPr>
                <w:sz w:val="24"/>
              </w:rPr>
              <w:t xml:space="preserve">для стен и потолков</w:t>
            </w:r>
          </w:p>
        </w:tc>
        <w:tc>
          <w:tcPr>
            <w:gridSpan w:val="2"/>
            <w:tcW w:w="2668" w:type="dxa"/>
          </w:tcPr>
          <w:p>
            <w:pPr>
              <w:pStyle w:val="0"/>
              <w:jc w:val="center"/>
            </w:pPr>
            <w:r>
              <w:rPr>
                <w:sz w:val="24"/>
              </w:rPr>
              <w:t xml:space="preserve">для покрытия полов</w:t>
            </w:r>
          </w:p>
        </w:tc>
      </w:tr>
      <w:tr>
        <w:tc>
          <w:tcPr>
            <w:vMerge w:val="continue"/>
          </w:tcPr>
          <w:p/>
        </w:tc>
        <w:tc>
          <w:tcPr>
            <w:vMerge w:val="continue"/>
          </w:tcPr>
          <w:p/>
        </w:tc>
        <w:tc>
          <w:tcPr>
            <w:tcW w:w="1333" w:type="dxa"/>
          </w:tcPr>
          <w:p>
            <w:pPr>
              <w:pStyle w:val="0"/>
              <w:jc w:val="center"/>
            </w:pPr>
            <w:r>
              <w:rPr>
                <w:sz w:val="24"/>
              </w:rPr>
              <w:t xml:space="preserve">Вестибюли, лестничные клетки, лифтовые холлы</w:t>
            </w:r>
          </w:p>
        </w:tc>
        <w:tc>
          <w:tcPr>
            <w:tcW w:w="1333" w:type="dxa"/>
          </w:tcPr>
          <w:p>
            <w:pPr>
              <w:pStyle w:val="0"/>
              <w:jc w:val="center"/>
            </w:pPr>
            <w:r>
              <w:rPr>
                <w:sz w:val="24"/>
              </w:rPr>
              <w:t xml:space="preserve">Общие коридоры, холлы, фойе</w:t>
            </w:r>
          </w:p>
        </w:tc>
        <w:tc>
          <w:tcPr>
            <w:tcW w:w="1333" w:type="dxa"/>
          </w:tcPr>
          <w:p>
            <w:pPr>
              <w:pStyle w:val="0"/>
              <w:jc w:val="center"/>
            </w:pPr>
            <w:r>
              <w:rPr>
                <w:sz w:val="24"/>
              </w:rPr>
              <w:t xml:space="preserve">Вестибюли, лестничные клетки, лифтовые холлы</w:t>
            </w:r>
          </w:p>
        </w:tc>
        <w:tc>
          <w:tcPr>
            <w:tcW w:w="1335" w:type="dxa"/>
          </w:tcPr>
          <w:p>
            <w:pPr>
              <w:pStyle w:val="0"/>
              <w:jc w:val="center"/>
            </w:pPr>
            <w:r>
              <w:rPr>
                <w:sz w:val="24"/>
              </w:rPr>
              <w:t xml:space="preserve">Общие коридоры, холлы, фойе</w:t>
            </w:r>
          </w:p>
        </w:tc>
      </w:tr>
      <w:tr>
        <w:tc>
          <w:tcPr>
            <w:tcW w:w="1984" w:type="dxa"/>
            <w:vMerge w:val="restart"/>
          </w:tcPr>
          <w:p>
            <w:pPr>
              <w:pStyle w:val="0"/>
            </w:pPr>
            <w:r>
              <w:rPr>
                <w:sz w:val="24"/>
              </w:rPr>
              <w:t xml:space="preserve">Ф1.2; Ф1.3; Ф2.3; Ф2.4; Ф3.1; Ф3.2; Ф3.6; Ф4.2; Ф4.3; Ф4.4; Ф5.1; Ф5.2; Ф5.3</w:t>
            </w:r>
          </w:p>
        </w:tc>
        <w:tc>
          <w:tcPr>
            <w:tcW w:w="1732" w:type="dxa"/>
          </w:tcPr>
          <w:p>
            <w:pPr>
              <w:pStyle w:val="0"/>
            </w:pPr>
            <w:r>
              <w:rPr>
                <w:sz w:val="24"/>
              </w:rPr>
              <w:t xml:space="preserve">не более 9 этажей или не более 28 метров</w:t>
            </w:r>
          </w:p>
        </w:tc>
        <w:tc>
          <w:tcPr>
            <w:tcW w:w="1333" w:type="dxa"/>
          </w:tcPr>
          <w:p>
            <w:pPr>
              <w:pStyle w:val="0"/>
            </w:pPr>
            <w:r>
              <w:rPr>
                <w:sz w:val="24"/>
              </w:rPr>
              <w:t xml:space="preserve">Г1, В2, Д2, Т2</w:t>
            </w:r>
          </w:p>
        </w:tc>
        <w:tc>
          <w:tcPr>
            <w:tcW w:w="1333" w:type="dxa"/>
          </w:tcPr>
          <w:p>
            <w:pPr>
              <w:pStyle w:val="0"/>
            </w:pPr>
            <w:r>
              <w:rPr>
                <w:sz w:val="24"/>
              </w:rPr>
              <w:t xml:space="preserve">Г2, В2, Д3, Т2</w:t>
            </w:r>
          </w:p>
        </w:tc>
        <w:tc>
          <w:tcPr>
            <w:tcW w:w="1333" w:type="dxa"/>
          </w:tcPr>
          <w:p>
            <w:pPr>
              <w:pStyle w:val="0"/>
            </w:pPr>
            <w:r>
              <w:rPr>
                <w:sz w:val="24"/>
              </w:rPr>
              <w:t xml:space="preserve">В2, Д3, Т2, РП2</w:t>
            </w:r>
          </w:p>
        </w:tc>
        <w:tc>
          <w:tcPr>
            <w:tcW w:w="1335" w:type="dxa"/>
          </w:tcPr>
          <w:p>
            <w:pPr>
              <w:pStyle w:val="0"/>
            </w:pPr>
            <w:r>
              <w:rPr>
                <w:sz w:val="24"/>
              </w:rPr>
              <w:t xml:space="preserve">В2, Д3, Т3, РП2</w:t>
            </w:r>
          </w:p>
        </w:tc>
      </w:tr>
      <w:tr>
        <w:tc>
          <w:tcPr>
            <w:vMerge w:val="continue"/>
          </w:tcPr>
          <w:p/>
        </w:tc>
        <w:tc>
          <w:tcPr>
            <w:tcW w:w="1732" w:type="dxa"/>
          </w:tcPr>
          <w:p>
            <w:pPr>
              <w:pStyle w:val="0"/>
            </w:pPr>
            <w:r>
              <w:rPr>
                <w:sz w:val="24"/>
              </w:rPr>
              <w:t xml:space="preserve">более 9, но не более 17 этажей или более 28, но не более 50 метров</w:t>
            </w:r>
          </w:p>
        </w:tc>
        <w:tc>
          <w:tcPr>
            <w:tcW w:w="1333" w:type="dxa"/>
          </w:tcPr>
          <w:p>
            <w:pPr>
              <w:pStyle w:val="0"/>
            </w:pPr>
            <w:r>
              <w:rPr>
                <w:sz w:val="24"/>
              </w:rPr>
              <w:t xml:space="preserve">Г1, В1, Д2, Т2</w:t>
            </w:r>
          </w:p>
        </w:tc>
        <w:tc>
          <w:tcPr>
            <w:tcW w:w="1333" w:type="dxa"/>
          </w:tcPr>
          <w:p>
            <w:pPr>
              <w:pStyle w:val="0"/>
            </w:pPr>
            <w:r>
              <w:rPr>
                <w:sz w:val="24"/>
              </w:rPr>
              <w:t xml:space="preserve">Г1, В2, Д2, Т2</w:t>
            </w:r>
          </w:p>
        </w:tc>
        <w:tc>
          <w:tcPr>
            <w:tcW w:w="1333" w:type="dxa"/>
          </w:tcPr>
          <w:p>
            <w:pPr>
              <w:pStyle w:val="0"/>
            </w:pPr>
            <w:r>
              <w:rPr>
                <w:sz w:val="24"/>
              </w:rPr>
              <w:t xml:space="preserve">В2, Д3, Т2, РП2</w:t>
            </w:r>
          </w:p>
        </w:tc>
        <w:tc>
          <w:tcPr>
            <w:tcW w:w="1335" w:type="dxa"/>
          </w:tcPr>
          <w:p>
            <w:pPr>
              <w:pStyle w:val="0"/>
            </w:pPr>
            <w:r>
              <w:rPr>
                <w:sz w:val="24"/>
              </w:rPr>
              <w:t xml:space="preserve">В2, Д3, Т2, РП2</w:t>
            </w:r>
          </w:p>
        </w:tc>
      </w:tr>
      <w:tr>
        <w:tc>
          <w:tcPr>
            <w:vMerge w:val="continue"/>
          </w:tcPr>
          <w:p/>
        </w:tc>
        <w:tc>
          <w:tcPr>
            <w:tcW w:w="1732" w:type="dxa"/>
          </w:tcPr>
          <w:p>
            <w:pPr>
              <w:pStyle w:val="0"/>
            </w:pPr>
            <w:r>
              <w:rPr>
                <w:sz w:val="24"/>
              </w:rPr>
              <w:t xml:space="preserve">более 17 этажей или более 50 метров</w:t>
            </w:r>
          </w:p>
        </w:tc>
        <w:tc>
          <w:tcPr>
            <w:tcW w:w="1333" w:type="dxa"/>
          </w:tcPr>
          <w:p>
            <w:pPr>
              <w:pStyle w:val="0"/>
            </w:pPr>
            <w:r>
              <w:rPr>
                <w:sz w:val="24"/>
              </w:rPr>
              <w:t xml:space="preserve">НГ</w:t>
            </w:r>
          </w:p>
        </w:tc>
        <w:tc>
          <w:tcPr>
            <w:tcW w:w="1333" w:type="dxa"/>
          </w:tcPr>
          <w:p>
            <w:pPr>
              <w:pStyle w:val="0"/>
            </w:pPr>
            <w:r>
              <w:rPr>
                <w:sz w:val="24"/>
              </w:rPr>
              <w:t xml:space="preserve">Г1, В1, Д2, Т2</w:t>
            </w:r>
          </w:p>
        </w:tc>
        <w:tc>
          <w:tcPr>
            <w:tcW w:w="1333" w:type="dxa"/>
          </w:tcPr>
          <w:p>
            <w:pPr>
              <w:pStyle w:val="0"/>
            </w:pPr>
            <w:r>
              <w:rPr>
                <w:sz w:val="24"/>
              </w:rPr>
              <w:t xml:space="preserve">В2, Д3, Т2, РП2</w:t>
            </w:r>
          </w:p>
        </w:tc>
        <w:tc>
          <w:tcPr>
            <w:tcW w:w="1335" w:type="dxa"/>
          </w:tcPr>
          <w:p>
            <w:pPr>
              <w:pStyle w:val="0"/>
            </w:pPr>
            <w:r>
              <w:rPr>
                <w:sz w:val="24"/>
              </w:rPr>
              <w:t xml:space="preserve">В2, Д3, Т2, РП2</w:t>
            </w:r>
          </w:p>
        </w:tc>
      </w:tr>
      <w:tr>
        <w:tc>
          <w:tcPr>
            <w:tcW w:w="1984" w:type="dxa"/>
          </w:tcPr>
          <w:p>
            <w:pPr>
              <w:pStyle w:val="0"/>
            </w:pPr>
            <w:r>
              <w:rPr>
                <w:sz w:val="24"/>
              </w:rPr>
              <w:t xml:space="preserve">Ф1.1; Ф2.1; Ф2.2; Ф3.3; Ф3.4; Ф3.5; Ф3.7; Ф4.1</w:t>
            </w:r>
          </w:p>
        </w:tc>
        <w:tc>
          <w:tcPr>
            <w:tcW w:w="1732" w:type="dxa"/>
          </w:tcPr>
          <w:p>
            <w:pPr>
              <w:pStyle w:val="0"/>
            </w:pPr>
            <w:r>
              <w:rPr>
                <w:sz w:val="24"/>
              </w:rPr>
              <w:t xml:space="preserve">вне зависимости от этажности и высоты</w:t>
            </w:r>
          </w:p>
        </w:tc>
        <w:tc>
          <w:tcPr>
            <w:tcW w:w="1333" w:type="dxa"/>
          </w:tcPr>
          <w:p>
            <w:pPr>
              <w:pStyle w:val="0"/>
            </w:pPr>
            <w:r>
              <w:rPr>
                <w:sz w:val="24"/>
              </w:rPr>
              <w:t xml:space="preserve">НГ</w:t>
            </w:r>
          </w:p>
        </w:tc>
        <w:tc>
          <w:tcPr>
            <w:tcW w:w="1333" w:type="dxa"/>
          </w:tcPr>
          <w:p>
            <w:pPr>
              <w:pStyle w:val="0"/>
            </w:pPr>
            <w:r>
              <w:rPr>
                <w:sz w:val="24"/>
              </w:rPr>
              <w:t xml:space="preserve">Г1, В1, Д2, Т2</w:t>
            </w:r>
          </w:p>
        </w:tc>
        <w:tc>
          <w:tcPr>
            <w:tcW w:w="1333" w:type="dxa"/>
          </w:tcPr>
          <w:p>
            <w:pPr>
              <w:pStyle w:val="0"/>
            </w:pPr>
            <w:r>
              <w:rPr>
                <w:sz w:val="24"/>
              </w:rPr>
              <w:t xml:space="preserve">В2, Д3, Т2, РП2</w:t>
            </w:r>
          </w:p>
        </w:tc>
        <w:tc>
          <w:tcPr>
            <w:tcW w:w="1335" w:type="dxa"/>
          </w:tcPr>
          <w:p>
            <w:pPr>
              <w:pStyle w:val="0"/>
            </w:pPr>
            <w:r>
              <w:rPr>
                <w:sz w:val="24"/>
              </w:rPr>
              <w:t xml:space="preserve">В2, Д3, Т2, РП2</w:t>
            </w:r>
          </w:p>
        </w:tc>
      </w:tr>
    </w:tbl>
    <w:p>
      <w:pPr>
        <w:pStyle w:val="0"/>
        <w:ind w:firstLine="540"/>
        <w:jc w:val="both"/>
      </w:pPr>
      <w:r>
        <w:rPr>
          <w:sz w:val="24"/>
        </w:rPr>
      </w:r>
    </w:p>
    <w:p>
      <w:pPr>
        <w:pStyle w:val="0"/>
        <w:outlineLvl w:val="1"/>
        <w:jc w:val="center"/>
      </w:pPr>
      <w:r>
        <w:rPr>
          <w:sz w:val="24"/>
        </w:rPr>
        <w:t xml:space="preserve">Таблица 29</w:t>
      </w:r>
    </w:p>
    <w:p>
      <w:pPr>
        <w:pStyle w:val="0"/>
        <w:ind w:firstLine="540"/>
        <w:jc w:val="both"/>
      </w:pPr>
      <w:r>
        <w:rPr>
          <w:sz w:val="24"/>
        </w:rPr>
      </w:r>
    </w:p>
    <w:bookmarkStart w:id="3272" w:name="P3272"/>
    <w:bookmarkEnd w:id="3272"/>
    <w:p>
      <w:pPr>
        <w:pStyle w:val="2"/>
        <w:jc w:val="center"/>
      </w:pPr>
      <w:r>
        <w:rPr>
          <w:sz w:val="24"/>
        </w:rPr>
        <w:t xml:space="preserve">Область применения декоративно-отделочных, облицовочных</w:t>
      </w:r>
    </w:p>
    <w:p>
      <w:pPr>
        <w:pStyle w:val="2"/>
        <w:jc w:val="center"/>
      </w:pPr>
      <w:r>
        <w:rPr>
          <w:sz w:val="24"/>
        </w:rPr>
        <w:t xml:space="preserve">материалов и покрытий полов в зальных помещениях, за</w:t>
      </w:r>
    </w:p>
    <w:p>
      <w:pPr>
        <w:pStyle w:val="2"/>
        <w:jc w:val="center"/>
      </w:pPr>
      <w:r>
        <w:rPr>
          <w:sz w:val="24"/>
        </w:rPr>
        <w:t xml:space="preserve">исключением покрытий полов спортивных арен спортивных</w:t>
      </w:r>
    </w:p>
    <w:p>
      <w:pPr>
        <w:pStyle w:val="2"/>
        <w:jc w:val="center"/>
      </w:pPr>
      <w:r>
        <w:rPr>
          <w:sz w:val="24"/>
        </w:rPr>
        <w:t xml:space="preserve">сооружений и полов танцевальных залов</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14.07.2022 N 276-ФЗ)</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7"/>
        <w:gridCol w:w="2145"/>
        <w:gridCol w:w="2113"/>
        <w:gridCol w:w="2149"/>
      </w:tblGrid>
      <w:tr>
        <w:tc>
          <w:tcPr>
            <w:tcW w:w="2557" w:type="dxa"/>
            <w:vMerge w:val="restart"/>
          </w:tcPr>
          <w:p>
            <w:pPr>
              <w:pStyle w:val="0"/>
              <w:jc w:val="center"/>
            </w:pPr>
            <w:r>
              <w:rPr>
                <w:sz w:val="24"/>
              </w:rPr>
              <w:t xml:space="preserve">Класс функциональной пожарной опасности здания</w:t>
            </w:r>
          </w:p>
        </w:tc>
        <w:tc>
          <w:tcPr>
            <w:tcW w:w="2145" w:type="dxa"/>
            <w:vMerge w:val="restart"/>
          </w:tcPr>
          <w:p>
            <w:pPr>
              <w:pStyle w:val="0"/>
              <w:jc w:val="center"/>
            </w:pPr>
            <w:r>
              <w:rPr>
                <w:sz w:val="24"/>
              </w:rPr>
              <w:t xml:space="preserve">Вместимость зальных помещений, человек</w:t>
            </w:r>
          </w:p>
        </w:tc>
        <w:tc>
          <w:tcPr>
            <w:gridSpan w:val="2"/>
            <w:tcW w:w="4262" w:type="dxa"/>
          </w:tcPr>
          <w:p>
            <w:pPr>
              <w:pStyle w:val="0"/>
              <w:jc w:val="center"/>
            </w:pPr>
            <w:r>
              <w:rPr>
                <w:sz w:val="24"/>
              </w:rPr>
              <w:t xml:space="preserve">Показатели пожарной опасности, не более указанных</w:t>
            </w:r>
          </w:p>
        </w:tc>
      </w:tr>
      <w:tr>
        <w:tc>
          <w:tcPr>
            <w:vMerge w:val="continue"/>
          </w:tcPr>
          <w:p/>
        </w:tc>
        <w:tc>
          <w:tcPr>
            <w:vMerge w:val="continue"/>
          </w:tcPr>
          <w:p/>
        </w:tc>
        <w:tc>
          <w:tcPr>
            <w:tcW w:w="2113" w:type="dxa"/>
          </w:tcPr>
          <w:p>
            <w:pPr>
              <w:pStyle w:val="0"/>
              <w:jc w:val="center"/>
            </w:pPr>
            <w:r>
              <w:rPr>
                <w:sz w:val="24"/>
              </w:rPr>
              <w:t xml:space="preserve">для стен и потолков</w:t>
            </w:r>
          </w:p>
        </w:tc>
        <w:tc>
          <w:tcPr>
            <w:tcW w:w="2149" w:type="dxa"/>
          </w:tcPr>
          <w:p>
            <w:pPr>
              <w:pStyle w:val="0"/>
              <w:jc w:val="center"/>
            </w:pPr>
            <w:r>
              <w:rPr>
                <w:sz w:val="24"/>
              </w:rPr>
              <w:t xml:space="preserve">для покрытий полов</w:t>
            </w:r>
          </w:p>
        </w:tc>
      </w:tr>
      <w:tr>
        <w:tc>
          <w:tcPr>
            <w:tcW w:w="2557" w:type="dxa"/>
            <w:vMerge w:val="restart"/>
          </w:tcPr>
          <w:p>
            <w:pPr>
              <w:pStyle w:val="0"/>
            </w:pPr>
            <w:r>
              <w:rPr>
                <w:sz w:val="24"/>
              </w:rPr>
              <w:t xml:space="preserve">Ф1.2; Ф2.3; Ф2.4; Ф3.1; Ф3.2; Ф3.6; Ф4.2; Ф4.3; Ф4.4; Ф5.1</w:t>
            </w:r>
          </w:p>
        </w:tc>
        <w:tc>
          <w:tcPr>
            <w:tcW w:w="2145" w:type="dxa"/>
          </w:tcPr>
          <w:p>
            <w:pPr>
              <w:pStyle w:val="0"/>
            </w:pPr>
            <w:r>
              <w:rPr>
                <w:sz w:val="24"/>
              </w:rPr>
              <w:t xml:space="preserve">более 800</w:t>
            </w:r>
          </w:p>
        </w:tc>
        <w:tc>
          <w:tcPr>
            <w:tcW w:w="2113" w:type="dxa"/>
          </w:tcPr>
          <w:p>
            <w:pPr>
              <w:pStyle w:val="0"/>
            </w:pPr>
            <w:r>
              <w:rPr>
                <w:sz w:val="24"/>
              </w:rPr>
              <w:t xml:space="preserve">НГ</w:t>
            </w:r>
          </w:p>
        </w:tc>
        <w:tc>
          <w:tcPr>
            <w:tcW w:w="2149" w:type="dxa"/>
          </w:tcPr>
          <w:p>
            <w:pPr>
              <w:pStyle w:val="0"/>
            </w:pPr>
            <w:r>
              <w:rPr>
                <w:sz w:val="24"/>
              </w:rPr>
              <w:t xml:space="preserve">В2, Д2, Т2, РП1</w:t>
            </w:r>
          </w:p>
        </w:tc>
      </w:tr>
      <w:tr>
        <w:tc>
          <w:tcPr>
            <w:vMerge w:val="continue"/>
          </w:tcPr>
          <w:p/>
        </w:tc>
        <w:tc>
          <w:tcPr>
            <w:tcW w:w="2145" w:type="dxa"/>
          </w:tcPr>
          <w:p>
            <w:pPr>
              <w:pStyle w:val="0"/>
            </w:pPr>
            <w:r>
              <w:rPr>
                <w:sz w:val="24"/>
              </w:rPr>
              <w:t xml:space="preserve">более 300, но не более 800</w:t>
            </w:r>
          </w:p>
        </w:tc>
        <w:tc>
          <w:tcPr>
            <w:tcW w:w="2113" w:type="dxa"/>
          </w:tcPr>
          <w:p>
            <w:pPr>
              <w:pStyle w:val="0"/>
            </w:pPr>
            <w:r>
              <w:rPr>
                <w:sz w:val="24"/>
              </w:rPr>
              <w:t xml:space="preserve">Г1, В1, Д2, Т2</w:t>
            </w:r>
          </w:p>
        </w:tc>
        <w:tc>
          <w:tcPr>
            <w:tcW w:w="2149" w:type="dxa"/>
          </w:tcPr>
          <w:p>
            <w:pPr>
              <w:pStyle w:val="0"/>
            </w:pPr>
            <w:r>
              <w:rPr>
                <w:sz w:val="24"/>
              </w:rPr>
              <w:t xml:space="preserve">В2, Д2, Т2, РП1</w:t>
            </w:r>
          </w:p>
        </w:tc>
      </w:tr>
      <w:tr>
        <w:tc>
          <w:tcPr>
            <w:vMerge w:val="continue"/>
          </w:tcPr>
          <w:p/>
        </w:tc>
        <w:tc>
          <w:tcPr>
            <w:tcW w:w="2145" w:type="dxa"/>
          </w:tcPr>
          <w:p>
            <w:pPr>
              <w:pStyle w:val="0"/>
            </w:pPr>
            <w:r>
              <w:rPr>
                <w:sz w:val="24"/>
              </w:rPr>
              <w:t xml:space="preserve">более 50, но не более 300</w:t>
            </w:r>
          </w:p>
        </w:tc>
        <w:tc>
          <w:tcPr>
            <w:tcW w:w="2113" w:type="dxa"/>
          </w:tcPr>
          <w:p>
            <w:pPr>
              <w:pStyle w:val="0"/>
            </w:pPr>
            <w:r>
              <w:rPr>
                <w:sz w:val="24"/>
              </w:rPr>
              <w:t xml:space="preserve">Г1, В2, Д2, Т2</w:t>
            </w:r>
          </w:p>
        </w:tc>
        <w:tc>
          <w:tcPr>
            <w:tcW w:w="2149" w:type="dxa"/>
          </w:tcPr>
          <w:p>
            <w:pPr>
              <w:pStyle w:val="0"/>
            </w:pPr>
            <w:r>
              <w:rPr>
                <w:sz w:val="24"/>
              </w:rPr>
              <w:t xml:space="preserve">В2, Д3, Т2, РП2</w:t>
            </w:r>
          </w:p>
        </w:tc>
      </w:tr>
      <w:tr>
        <w:tc>
          <w:tcPr>
            <w:vMerge w:val="continue"/>
          </w:tcPr>
          <w:p/>
        </w:tc>
        <w:tc>
          <w:tcPr>
            <w:tcW w:w="2145" w:type="dxa"/>
          </w:tcPr>
          <w:p>
            <w:pPr>
              <w:pStyle w:val="0"/>
            </w:pPr>
            <w:r>
              <w:rPr>
                <w:sz w:val="24"/>
              </w:rPr>
              <w:t xml:space="preserve">не более 50</w:t>
            </w:r>
          </w:p>
        </w:tc>
        <w:tc>
          <w:tcPr>
            <w:tcW w:w="2113" w:type="dxa"/>
          </w:tcPr>
          <w:p>
            <w:pPr>
              <w:pStyle w:val="0"/>
            </w:pPr>
            <w:r>
              <w:rPr>
                <w:sz w:val="24"/>
              </w:rPr>
              <w:t xml:space="preserve">Г2, В2, Д3, Т2</w:t>
            </w:r>
          </w:p>
        </w:tc>
        <w:tc>
          <w:tcPr>
            <w:tcW w:w="2149" w:type="dxa"/>
          </w:tcPr>
          <w:p>
            <w:pPr>
              <w:pStyle w:val="0"/>
            </w:pPr>
            <w:r>
              <w:rPr>
                <w:sz w:val="24"/>
              </w:rPr>
              <w:t xml:space="preserve">В2, Д3, Т3, РП2</w:t>
            </w:r>
          </w:p>
        </w:tc>
      </w:tr>
      <w:tr>
        <w:tc>
          <w:tcPr>
            <w:tcW w:w="2557" w:type="dxa"/>
            <w:vMerge w:val="restart"/>
          </w:tcPr>
          <w:p>
            <w:pPr>
              <w:pStyle w:val="0"/>
            </w:pPr>
            <w:r>
              <w:rPr>
                <w:sz w:val="24"/>
              </w:rPr>
              <w:t xml:space="preserve">Ф1.1; Ф2.1; Ф2.2; Ф3.3; Ф3.4; Ф3.5; Ф3.7; Ф4.1</w:t>
            </w:r>
          </w:p>
        </w:tc>
        <w:tc>
          <w:tcPr>
            <w:tcW w:w="2145" w:type="dxa"/>
          </w:tcPr>
          <w:p>
            <w:pPr>
              <w:pStyle w:val="0"/>
            </w:pPr>
            <w:r>
              <w:rPr>
                <w:sz w:val="24"/>
              </w:rPr>
              <w:t xml:space="preserve">более 300</w:t>
            </w:r>
          </w:p>
        </w:tc>
        <w:tc>
          <w:tcPr>
            <w:tcW w:w="2113" w:type="dxa"/>
          </w:tcPr>
          <w:p>
            <w:pPr>
              <w:pStyle w:val="0"/>
            </w:pPr>
            <w:r>
              <w:rPr>
                <w:sz w:val="24"/>
              </w:rPr>
              <w:t xml:space="preserve">НГ</w:t>
            </w:r>
          </w:p>
        </w:tc>
        <w:tc>
          <w:tcPr>
            <w:tcW w:w="2149" w:type="dxa"/>
          </w:tcPr>
          <w:p>
            <w:pPr>
              <w:pStyle w:val="0"/>
            </w:pPr>
            <w:r>
              <w:rPr>
                <w:sz w:val="24"/>
              </w:rPr>
              <w:t xml:space="preserve">В2, Д2, Т2, РП1</w:t>
            </w:r>
          </w:p>
        </w:tc>
      </w:tr>
      <w:tr>
        <w:tc>
          <w:tcPr>
            <w:vMerge w:val="continue"/>
          </w:tcPr>
          <w:p/>
        </w:tc>
        <w:tc>
          <w:tcPr>
            <w:tcW w:w="2145" w:type="dxa"/>
          </w:tcPr>
          <w:p>
            <w:pPr>
              <w:pStyle w:val="0"/>
            </w:pPr>
            <w:r>
              <w:rPr>
                <w:sz w:val="24"/>
              </w:rPr>
              <w:t xml:space="preserve">более 15, но не более 300</w:t>
            </w:r>
          </w:p>
        </w:tc>
        <w:tc>
          <w:tcPr>
            <w:tcW w:w="2113" w:type="dxa"/>
          </w:tcPr>
          <w:p>
            <w:pPr>
              <w:pStyle w:val="0"/>
            </w:pPr>
            <w:r>
              <w:rPr>
                <w:sz w:val="24"/>
              </w:rPr>
              <w:t xml:space="preserve">Г1, В1, Д2, Т2</w:t>
            </w:r>
          </w:p>
        </w:tc>
        <w:tc>
          <w:tcPr>
            <w:tcW w:w="2149" w:type="dxa"/>
          </w:tcPr>
          <w:p>
            <w:pPr>
              <w:pStyle w:val="0"/>
            </w:pPr>
            <w:r>
              <w:rPr>
                <w:sz w:val="24"/>
              </w:rPr>
              <w:t xml:space="preserve">В2, Д2, Т2, РП1</w:t>
            </w:r>
          </w:p>
        </w:tc>
      </w:tr>
      <w:tr>
        <w:tc>
          <w:tcPr>
            <w:vMerge w:val="continue"/>
          </w:tcPr>
          <w:p/>
        </w:tc>
        <w:tc>
          <w:tcPr>
            <w:tcW w:w="2145" w:type="dxa"/>
          </w:tcPr>
          <w:p>
            <w:pPr>
              <w:pStyle w:val="0"/>
            </w:pPr>
            <w:r>
              <w:rPr>
                <w:sz w:val="24"/>
              </w:rPr>
              <w:t xml:space="preserve">не более 15</w:t>
            </w:r>
          </w:p>
        </w:tc>
        <w:tc>
          <w:tcPr>
            <w:tcW w:w="2113" w:type="dxa"/>
          </w:tcPr>
          <w:p>
            <w:pPr>
              <w:pStyle w:val="0"/>
            </w:pPr>
            <w:r>
              <w:rPr>
                <w:sz w:val="24"/>
              </w:rPr>
              <w:t xml:space="preserve">Г2, В2, Д3, Т2</w:t>
            </w:r>
          </w:p>
        </w:tc>
        <w:tc>
          <w:tcPr>
            <w:tcW w:w="2149" w:type="dxa"/>
          </w:tcPr>
          <w:p>
            <w:pPr>
              <w:pStyle w:val="0"/>
            </w:pPr>
            <w:r>
              <w:rPr>
                <w:sz w:val="24"/>
              </w:rPr>
              <w:t xml:space="preserve">В2, Д3, Т3, РП2</w:t>
            </w:r>
          </w:p>
        </w:tc>
      </w:tr>
    </w:tbl>
    <w:p>
      <w:pPr>
        <w:pStyle w:val="0"/>
        <w:ind w:firstLine="540"/>
        <w:jc w:val="both"/>
      </w:pPr>
      <w:r>
        <w:rPr>
          <w:sz w:val="24"/>
        </w:rPr>
      </w:r>
    </w:p>
    <w:p>
      <w:pPr>
        <w:pStyle w:val="0"/>
        <w:ind w:firstLine="540"/>
        <w:jc w:val="both"/>
      </w:pPr>
      <w:r>
        <w:rPr>
          <w:sz w:val="24"/>
        </w:rPr>
        <w:t xml:space="preserve">Примечание: Для отделки стен и потолков не допускается применять облицовочные материалы, используемые в качестве акустических панелей, с более высокими показателями пожарной опасности, чем Г1, В1, Д2, Т2.</w:t>
      </w:r>
    </w:p>
    <w:p>
      <w:pPr>
        <w:pStyle w:val="0"/>
        <w:ind w:firstLine="540"/>
        <w:jc w:val="both"/>
      </w:pPr>
      <w:r>
        <w:rPr>
          <w:sz w:val="24"/>
        </w:rPr>
      </w:r>
    </w:p>
    <w:p>
      <w:pPr>
        <w:pStyle w:val="0"/>
        <w:outlineLvl w:val="1"/>
        <w:jc w:val="center"/>
      </w:pPr>
      <w:r>
        <w:rPr>
          <w:sz w:val="24"/>
        </w:rPr>
        <w:t xml:space="preserve">Таблица 30</w:t>
      </w:r>
    </w:p>
    <w:p>
      <w:pPr>
        <w:pStyle w:val="0"/>
        <w:jc w:val="right"/>
      </w:pPr>
      <w:r>
        <w:rPr>
          <w:sz w:val="24"/>
        </w:rPr>
      </w:r>
    </w:p>
    <w:bookmarkStart w:id="3312" w:name="P3312"/>
    <w:bookmarkEnd w:id="3312"/>
    <w:p>
      <w:pPr>
        <w:pStyle w:val="2"/>
        <w:jc w:val="center"/>
      </w:pPr>
      <w:r>
        <w:rPr>
          <w:sz w:val="24"/>
        </w:rPr>
        <w:t xml:space="preserve">Перечень показателей, необходимых для оценки</w:t>
      </w:r>
    </w:p>
    <w:p>
      <w:pPr>
        <w:pStyle w:val="2"/>
        <w:jc w:val="center"/>
      </w:pPr>
      <w:r>
        <w:rPr>
          <w:sz w:val="24"/>
        </w:rPr>
        <w:t xml:space="preserve">пожарной опасности текстильных и кожевенных материалов</w:t>
      </w:r>
    </w:p>
    <w:p>
      <w:pPr>
        <w:pStyle w:val="2"/>
        <w:jc w:val="center"/>
      </w:pPr>
      <w:r>
        <w:rPr>
          <w:sz w:val="24"/>
        </w:rPr>
        <w:t xml:space="preserve">и для нормирования требований</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1360"/>
        <w:gridCol w:w="1360"/>
        <w:gridCol w:w="1360"/>
        <w:gridCol w:w="1360"/>
        <w:gridCol w:w="1361"/>
      </w:tblGrid>
      <w:tr>
        <w:tc>
          <w:tcPr>
            <w:tcW w:w="2268" w:type="dxa"/>
            <w:vMerge w:val="restart"/>
          </w:tcPr>
          <w:p>
            <w:pPr>
              <w:pStyle w:val="0"/>
              <w:jc w:val="center"/>
            </w:pPr>
            <w:r>
              <w:rPr>
                <w:sz w:val="24"/>
              </w:rPr>
              <w:t xml:space="preserve">Показатели пожарной опасности</w:t>
            </w:r>
          </w:p>
        </w:tc>
        <w:tc>
          <w:tcPr>
            <w:gridSpan w:val="5"/>
            <w:tcW w:w="6801" w:type="dxa"/>
          </w:tcPr>
          <w:p>
            <w:pPr>
              <w:pStyle w:val="0"/>
              <w:jc w:val="center"/>
            </w:pPr>
            <w:r>
              <w:rPr>
                <w:sz w:val="24"/>
              </w:rPr>
              <w:t xml:space="preserve">Функциональное назначение</w:t>
            </w:r>
          </w:p>
        </w:tc>
      </w:tr>
      <w:tr>
        <w:tc>
          <w:tcPr>
            <w:vMerge w:val="continue"/>
          </w:tcPr>
          <w:p/>
        </w:tc>
        <w:tc>
          <w:tcPr>
            <w:tcW w:w="1360" w:type="dxa"/>
          </w:tcPr>
          <w:p>
            <w:pPr>
              <w:pStyle w:val="0"/>
              <w:jc w:val="center"/>
            </w:pPr>
            <w:r>
              <w:rPr>
                <w:sz w:val="24"/>
              </w:rPr>
              <w:t xml:space="preserve">Шторы и занавесы</w:t>
            </w:r>
          </w:p>
        </w:tc>
        <w:tc>
          <w:tcPr>
            <w:tcW w:w="1360" w:type="dxa"/>
          </w:tcPr>
          <w:p>
            <w:pPr>
              <w:pStyle w:val="0"/>
              <w:jc w:val="center"/>
            </w:pPr>
            <w:r>
              <w:rPr>
                <w:sz w:val="24"/>
              </w:rPr>
              <w:t xml:space="preserve">Постельные принадлежности</w:t>
            </w:r>
          </w:p>
        </w:tc>
        <w:tc>
          <w:tcPr>
            <w:tcW w:w="1360" w:type="dxa"/>
          </w:tcPr>
          <w:p>
            <w:pPr>
              <w:pStyle w:val="0"/>
              <w:jc w:val="center"/>
            </w:pPr>
            <w:r>
              <w:rPr>
                <w:sz w:val="24"/>
              </w:rPr>
              <w:t xml:space="preserve">Элементы мягкой мебели (в том числе кожевенные)</w:t>
            </w:r>
          </w:p>
        </w:tc>
        <w:tc>
          <w:tcPr>
            <w:tcW w:w="1360" w:type="dxa"/>
          </w:tcPr>
          <w:p>
            <w:pPr>
              <w:pStyle w:val="0"/>
              <w:jc w:val="center"/>
            </w:pPr>
            <w:r>
              <w:rPr>
                <w:sz w:val="24"/>
              </w:rPr>
              <w:t xml:space="preserve">Специальная защитная одежда</w:t>
            </w:r>
          </w:p>
        </w:tc>
        <w:tc>
          <w:tcPr>
            <w:tcW w:w="1361" w:type="dxa"/>
          </w:tcPr>
          <w:p>
            <w:pPr>
              <w:pStyle w:val="0"/>
              <w:jc w:val="center"/>
            </w:pPr>
            <w:r>
              <w:rPr>
                <w:sz w:val="24"/>
              </w:rPr>
              <w:t xml:space="preserve">Ковровые покрытия</w:t>
            </w:r>
          </w:p>
        </w:tc>
      </w:tr>
      <w:tr>
        <w:tc>
          <w:tcPr>
            <w:tcW w:w="2268" w:type="dxa"/>
          </w:tcPr>
          <w:p>
            <w:pPr>
              <w:pStyle w:val="0"/>
            </w:pPr>
            <w:r>
              <w:rPr>
                <w:sz w:val="24"/>
              </w:rPr>
              <w:t xml:space="preserve">Воспламеняемость</w:t>
            </w:r>
          </w:p>
        </w:tc>
        <w:tc>
          <w:tcPr>
            <w:tcW w:w="1360" w:type="dxa"/>
          </w:tcPr>
          <w:p>
            <w:pPr>
              <w:pStyle w:val="0"/>
              <w:jc w:val="center"/>
            </w:pPr>
            <w:r>
              <w:rPr>
                <w:sz w:val="24"/>
              </w:rPr>
              <w:t xml:space="preserve">+</w:t>
            </w:r>
          </w:p>
        </w:tc>
        <w:tc>
          <w:tcPr>
            <w:tcW w:w="1360" w:type="dxa"/>
          </w:tcPr>
          <w:p>
            <w:pPr>
              <w:pStyle w:val="0"/>
              <w:jc w:val="center"/>
            </w:pPr>
            <w:r>
              <w:rPr>
                <w:sz w:val="24"/>
              </w:rPr>
              <w:t xml:space="preserve">+</w:t>
            </w:r>
          </w:p>
        </w:tc>
        <w:tc>
          <w:tcPr>
            <w:tcW w:w="1360" w:type="dxa"/>
          </w:tcPr>
          <w:p>
            <w:pPr>
              <w:pStyle w:val="0"/>
              <w:jc w:val="center"/>
            </w:pPr>
            <w:r>
              <w:rPr>
                <w:sz w:val="24"/>
              </w:rPr>
              <w:t xml:space="preserve">+</w:t>
            </w:r>
          </w:p>
        </w:tc>
        <w:tc>
          <w:tcPr>
            <w:tcW w:w="1360" w:type="dxa"/>
          </w:tcPr>
          <w:p>
            <w:pPr>
              <w:pStyle w:val="0"/>
              <w:jc w:val="center"/>
            </w:pPr>
            <w:r>
              <w:rPr>
                <w:sz w:val="24"/>
              </w:rPr>
              <w:t xml:space="preserve">+</w:t>
            </w:r>
          </w:p>
        </w:tc>
        <w:tc>
          <w:tcPr>
            <w:tcW w:w="1361" w:type="dxa"/>
          </w:tcPr>
          <w:p>
            <w:pPr>
              <w:pStyle w:val="0"/>
              <w:jc w:val="center"/>
            </w:pPr>
            <w:r>
              <w:rPr>
                <w:sz w:val="24"/>
              </w:rPr>
              <w:t xml:space="preserve">+</w:t>
            </w:r>
          </w:p>
        </w:tc>
      </w:tr>
      <w:tr>
        <w:tc>
          <w:tcPr>
            <w:tcW w:w="2268" w:type="dxa"/>
          </w:tcPr>
          <w:p>
            <w:pPr>
              <w:pStyle w:val="0"/>
            </w:pPr>
            <w:r>
              <w:rPr>
                <w:sz w:val="24"/>
              </w:rPr>
              <w:t xml:space="preserve">Устойчивость к воздействию теплового потока</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Теплозащитная эффективность при воздействии пламени</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Распространение пламени</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Показатель токсичности продуктов горения</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r>
        <w:tc>
          <w:tcPr>
            <w:tcW w:w="2268" w:type="dxa"/>
          </w:tcPr>
          <w:p>
            <w:pPr>
              <w:pStyle w:val="0"/>
            </w:pPr>
            <w:r>
              <w:rPr>
                <w:sz w:val="24"/>
              </w:rPr>
              <w:t xml:space="preserve">Коэффициент дымообразования</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0" w:type="dxa"/>
            <w:vAlign w:val="bottom"/>
          </w:tcPr>
          <w:p>
            <w:pPr>
              <w:pStyle w:val="0"/>
              <w:jc w:val="center"/>
            </w:pPr>
            <w:r>
              <w:rPr>
                <w:sz w:val="24"/>
              </w:rPr>
              <w:t xml:space="preserve">-</w:t>
            </w:r>
          </w:p>
        </w:tc>
        <w:tc>
          <w:tcPr>
            <w:tcW w:w="1361" w:type="dxa"/>
            <w:vAlign w:val="bottom"/>
          </w:tcPr>
          <w:p>
            <w:pPr>
              <w:pStyle w:val="0"/>
              <w:jc w:val="center"/>
            </w:pPr>
            <w:r>
              <w:rPr>
                <w:sz w:val="24"/>
              </w:rPr>
              <w:t xml:space="preserve">+</w:t>
            </w:r>
          </w:p>
        </w:tc>
      </w:tr>
    </w:tbl>
    <w:p>
      <w:pPr>
        <w:pStyle w:val="0"/>
        <w:ind w:firstLine="540"/>
        <w:jc w:val="both"/>
      </w:pPr>
      <w:r>
        <w:rPr>
          <w:sz w:val="24"/>
        </w:rPr>
      </w:r>
    </w:p>
    <w:p>
      <w:pPr>
        <w:pStyle w:val="0"/>
        <w:ind w:firstLine="540"/>
        <w:jc w:val="both"/>
      </w:pPr>
      <w:r>
        <w:rPr>
          <w:sz w:val="24"/>
        </w:rPr>
        <w:t xml:space="preserve">Примечания: 1. Знак "+" обозначает, что показатель необходимо применять.</w:t>
      </w:r>
    </w:p>
    <w:p>
      <w:pPr>
        <w:pStyle w:val="0"/>
        <w:spacing w:before="240" w:line-rule="auto"/>
        <w:ind w:firstLine="540"/>
        <w:jc w:val="both"/>
      </w:pPr>
      <w:r>
        <w:rPr>
          <w:sz w:val="24"/>
        </w:rPr>
        <w:t xml:space="preserve">2. Знак "-" обозначает, что показатель не применяется.</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22.07.2008 N 123-ФЗ</w:t>
            <w:br/>
            <w:t>(ред. от 25.12.2023)</w:t>
            <w:br/>
            <w:t>"Технический регламент о требованиях пожарной безопасности...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Федеральный закон от 22.07.2008 N 123-ФЗ</w:t>
            <w:br/>
            <w:t>(ред. от 25.12.2023)</w:t>
            <w:br/>
            <w:t>"Технический регламент о требованиях пожарной безопасности...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22.07.2008 N 123-ФЗ
(ред. от 25.12.2023)
"Технический регламент о требованиях пожарной безопасности"</dc:title>
  <dcterms:created xsi:type="dcterms:W3CDTF">2026-01-20T06:51:21Z</dcterms:created>
</cp:coreProperties>
</file>