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AF" w:rsidRPr="00FC3BE5" w:rsidRDefault="008110AF" w:rsidP="008110AF">
      <w:pPr>
        <w:spacing w:after="0" w:line="240" w:lineRule="auto"/>
        <w:ind w:left="6096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УТВЕРЖДАЮ</w:t>
      </w:r>
    </w:p>
    <w:p w:rsidR="00EA3D4F" w:rsidRDefault="002A34B2" w:rsidP="00EA3D4F">
      <w:pPr>
        <w:spacing w:after="0" w:line="240" w:lineRule="auto"/>
        <w:ind w:left="87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Заместитель </w:t>
      </w:r>
    </w:p>
    <w:p w:rsidR="00EA3D4F" w:rsidRDefault="002A34B2" w:rsidP="00EA3D4F">
      <w:pPr>
        <w:spacing w:after="0" w:line="240" w:lineRule="auto"/>
        <w:ind w:left="87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Главы </w:t>
      </w:r>
      <w:r w:rsidR="00AB4AE4">
        <w:rPr>
          <w:rFonts w:ascii="Liberation Serif" w:eastAsia="Times New Roman" w:hAnsi="Liberation Serif" w:cs="Times New Roman"/>
          <w:sz w:val="24"/>
          <w:szCs w:val="24"/>
          <w:lang w:eastAsia="ru-RU"/>
        </w:rPr>
        <w:t>Байкаловского муниципального района</w:t>
      </w:r>
    </w:p>
    <w:p w:rsidR="00EA3D4F" w:rsidRDefault="00AB4AE4" w:rsidP="00EA3D4F">
      <w:pPr>
        <w:spacing w:after="0" w:line="240" w:lineRule="auto"/>
        <w:ind w:left="87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2A34B2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социальной политике, </w:t>
      </w:r>
    </w:p>
    <w:p w:rsidR="00EA3D4F" w:rsidRDefault="002A34B2" w:rsidP="00EA3D4F">
      <w:pPr>
        <w:spacing w:after="0" w:line="240" w:lineRule="auto"/>
        <w:ind w:left="87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r w:rsidR="00932B6E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межведомственной к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омиссии </w:t>
      </w:r>
    </w:p>
    <w:p w:rsidR="00024A39" w:rsidRPr="00FC3BE5" w:rsidRDefault="00E56D95" w:rsidP="00EA3D4F">
      <w:pPr>
        <w:spacing w:after="0" w:line="240" w:lineRule="auto"/>
        <w:ind w:left="87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профилактике </w:t>
      </w:r>
      <w:r w:rsidR="00932B6E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экстремизма </w:t>
      </w:r>
    </w:p>
    <w:p w:rsidR="002A34B2" w:rsidRDefault="00AB4AE4" w:rsidP="00EA3D4F">
      <w:pPr>
        <w:spacing w:after="0" w:line="240" w:lineRule="auto"/>
        <w:ind w:left="87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  <w:r w:rsidR="00932B6E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О.А.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Емельянова</w:t>
      </w:r>
    </w:p>
    <w:p w:rsidR="002A34B2" w:rsidRPr="00FC3BE5" w:rsidRDefault="00932B6E" w:rsidP="00EA3D4F">
      <w:pPr>
        <w:spacing w:after="0" w:line="240" w:lineRule="auto"/>
        <w:ind w:left="878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2A34B2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«_</w:t>
      </w:r>
      <w:r w:rsidR="00AA3B1C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__</w:t>
      </w:r>
      <w:r w:rsidR="002A34B2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_» _______</w:t>
      </w:r>
      <w:r w:rsidR="00AA3B1C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</w:t>
      </w:r>
      <w:proofErr w:type="gramStart"/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_</w:t>
      </w:r>
      <w:r w:rsidR="008D4A4A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4E1E1A">
        <w:rPr>
          <w:rFonts w:ascii="Liberation Serif" w:eastAsia="Times New Roman" w:hAnsi="Liberation Serif" w:cs="Times New Roman"/>
          <w:sz w:val="24"/>
          <w:szCs w:val="24"/>
          <w:lang w:eastAsia="ru-RU"/>
        </w:rPr>
        <w:t>202</w:t>
      </w:r>
      <w:r w:rsidR="00883AED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proofErr w:type="gramEnd"/>
      <w:r w:rsidR="00AA3B1C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</w:t>
      </w:r>
      <w:r w:rsidR="00026912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ода</w:t>
      </w:r>
      <w:r w:rsidR="002A34B2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</w:t>
      </w:r>
    </w:p>
    <w:p w:rsidR="002A34B2" w:rsidRPr="00FC3BE5" w:rsidRDefault="002A34B2" w:rsidP="00EA3D4F">
      <w:pPr>
        <w:spacing w:after="0" w:line="240" w:lineRule="auto"/>
        <w:ind w:left="87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A34B2" w:rsidRPr="00FC3BE5" w:rsidRDefault="00E56D95" w:rsidP="00E56D95">
      <w:pPr>
        <w:spacing w:after="0" w:line="240" w:lineRule="auto"/>
        <w:ind w:left="-14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</w:t>
      </w:r>
    </w:p>
    <w:p w:rsidR="002A34B2" w:rsidRPr="00FC3BE5" w:rsidRDefault="002A34B2" w:rsidP="002A34B2">
      <w:pPr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ПЛАН </w:t>
      </w:r>
    </w:p>
    <w:p w:rsidR="006E0283" w:rsidRPr="006E0283" w:rsidRDefault="00295D38" w:rsidP="006E0283">
      <w:pPr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работы </w:t>
      </w:r>
      <w:r w:rsidR="006E028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</w:t>
      </w:r>
      <w:r w:rsidR="002A34B2" w:rsidRPr="00FC3BE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ежведомственной комиссии </w:t>
      </w:r>
      <w:r w:rsidR="006E0283" w:rsidRPr="006E028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по противодействию экстремизму </w:t>
      </w:r>
    </w:p>
    <w:p w:rsidR="002A34B2" w:rsidRDefault="002A34B2" w:rsidP="002A34B2">
      <w:pPr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в </w:t>
      </w:r>
      <w:r w:rsidR="00AB4AE4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Байкаловском муниципальном районе</w:t>
      </w:r>
      <w:r w:rsidRPr="00FC3BE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на 20</w:t>
      </w:r>
      <w:r w:rsidR="004E1E1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26</w:t>
      </w:r>
      <w:r w:rsidR="00295D38" w:rsidRPr="00FC3BE5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год</w:t>
      </w:r>
    </w:p>
    <w:p w:rsidR="00883AED" w:rsidRDefault="00883AED" w:rsidP="002A34B2">
      <w:pPr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883AED" w:rsidRDefault="00883AED" w:rsidP="002A34B2">
      <w:pPr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9"/>
        <w:gridCol w:w="5634"/>
      </w:tblGrid>
      <w:tr w:rsidR="00883AED" w:rsidTr="00883AED">
        <w:tc>
          <w:tcPr>
            <w:tcW w:w="988" w:type="dxa"/>
          </w:tcPr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</w:tcPr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09" w:type="dxa"/>
          </w:tcPr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634" w:type="dxa"/>
          </w:tcPr>
          <w:p w:rsidR="00883AED" w:rsidRPr="00FC3BE5" w:rsidRDefault="00883AED" w:rsidP="00883AE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  <w:p w:rsidR="00883AED" w:rsidRDefault="00883AED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 w:rsidR="00883AED" w:rsidTr="00186DD7">
        <w:tc>
          <w:tcPr>
            <w:tcW w:w="988" w:type="dxa"/>
          </w:tcPr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13" w:type="dxa"/>
            <w:gridSpan w:val="3"/>
          </w:tcPr>
          <w:p w:rsidR="00883AED" w:rsidRPr="00FC3BE5" w:rsidRDefault="00883AED" w:rsidP="00883AE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Вопросы для рассмотрения на заседаниях межведомственной комиссии</w:t>
            </w:r>
          </w:p>
          <w:p w:rsidR="00883AED" w:rsidRDefault="00883AED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по профилактике экстремизма</w:t>
            </w:r>
          </w:p>
        </w:tc>
      </w:tr>
      <w:tr w:rsidR="00883AED" w:rsidTr="00883AED">
        <w:tc>
          <w:tcPr>
            <w:tcW w:w="988" w:type="dxa"/>
          </w:tcPr>
          <w:p w:rsidR="00883AED" w:rsidRP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883AE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70" w:type="dxa"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исполнении протокольных поручений Межведомственной комиссии по профилактике экстремизма в Свердловской области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ежведомственной комиссии </w:t>
            </w:r>
            <w:r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противодействию экстремизму </w:t>
            </w:r>
            <w:r w:rsidRPr="00883A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этносепаратизму  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Байкаловском муниципальном районе</w:t>
            </w:r>
          </w:p>
        </w:tc>
        <w:tc>
          <w:tcPr>
            <w:tcW w:w="2409" w:type="dxa"/>
            <w:vMerge w:val="restart"/>
          </w:tcPr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квартал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20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34" w:type="dxa"/>
          </w:tcPr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883AED" w:rsidTr="00883AED">
        <w:tc>
          <w:tcPr>
            <w:tcW w:w="988" w:type="dxa"/>
          </w:tcPr>
          <w:p w:rsidR="00883AED" w:rsidRP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883AE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70" w:type="dxa"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реализации мероприятий, в части информационного сопровождения деятельности межведомственной комиссии </w:t>
            </w:r>
            <w:r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противодействию экстремизму</w:t>
            </w:r>
            <w:r w:rsidRPr="00883A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этносепаратизму  </w:t>
            </w:r>
            <w:r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Байкаловском муниципальном районе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Merge/>
          </w:tcPr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883AED" w:rsidRPr="00FC3BE5" w:rsidRDefault="00883AED" w:rsidP="00883AED">
            <w:pPr>
              <w:ind w:left="12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секретарь комиссии</w:t>
            </w:r>
          </w:p>
          <w:p w:rsidR="00883AED" w:rsidRDefault="00883AED" w:rsidP="002A34B2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3AED" w:rsidTr="00883AED">
        <w:tc>
          <w:tcPr>
            <w:tcW w:w="988" w:type="dxa"/>
          </w:tcPr>
          <w:p w:rsidR="00883AED" w:rsidRPr="00883AED" w:rsidRDefault="00883AED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883AE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70" w:type="dxa"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мерах по противодействию радикализации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предупреждению конфликтных ситуаций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молодежной сре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де, в том числе среди учащихся 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миграцией в истории семьи, об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учающихся в учебных заведениях 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территории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района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вовлечения их в культурно-образовательные мероприятия.</w:t>
            </w:r>
          </w:p>
        </w:tc>
        <w:tc>
          <w:tcPr>
            <w:tcW w:w="2409" w:type="dxa"/>
            <w:vMerge/>
          </w:tcPr>
          <w:p w:rsidR="00883AED" w:rsidRDefault="00883AED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883AED" w:rsidRPr="00FC3BE5" w:rsidRDefault="00883AED" w:rsidP="00883AED">
            <w:pPr>
              <w:ind w:left="12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«Комитет физической культуры и спорта Байкаловского муниципального района»</w:t>
            </w:r>
            <w:r w:rsidRPr="00DB37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управление образования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Байкаловского муниципального района, КДУ сельских поселений</w:t>
            </w:r>
          </w:p>
        </w:tc>
      </w:tr>
      <w:tr w:rsidR="00883AED" w:rsidTr="00883AED">
        <w:tc>
          <w:tcPr>
            <w:tcW w:w="988" w:type="dxa"/>
          </w:tcPr>
          <w:p w:rsidR="00883AED" w:rsidRDefault="00883AED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670" w:type="dxa"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DB3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достаточности и эффективности принимаемых мер, направленных на предупреждение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профилактику экстремистских </w:t>
            </w:r>
            <w:r w:rsidRPr="00DB3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сепаратистских проявлений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гармонизации межнациональных </w:t>
            </w:r>
            <w:r w:rsidRPr="00DB3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межконфессиональных отношений</w:t>
            </w:r>
          </w:p>
        </w:tc>
        <w:tc>
          <w:tcPr>
            <w:tcW w:w="2409" w:type="dxa"/>
            <w:vMerge w:val="restart"/>
          </w:tcPr>
          <w:p w:rsidR="00883AED" w:rsidRPr="00433275" w:rsidRDefault="00883AED" w:rsidP="00883AED">
            <w:pPr>
              <w:spacing w:line="195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3275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II</w:t>
            </w:r>
            <w:r w:rsidRPr="004332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квартал 2026года</w:t>
            </w:r>
          </w:p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883AED" w:rsidRPr="00AB4AE4" w:rsidRDefault="00883AED" w:rsidP="00883AED">
            <w:pPr>
              <w:ind w:left="12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ММО МВД России «Байкаловский»,</w:t>
            </w:r>
          </w:p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 Байкаловского муниципального района</w:t>
            </w:r>
          </w:p>
        </w:tc>
      </w:tr>
      <w:tr w:rsidR="00883AED" w:rsidTr="00883AED">
        <w:tc>
          <w:tcPr>
            <w:tcW w:w="988" w:type="dxa"/>
          </w:tcPr>
          <w:p w:rsidR="00883AED" w:rsidRDefault="00883AED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70" w:type="dxa"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DB3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деструктивных молодежных движениях имеющих приверженцев и неофитов </w:t>
            </w:r>
            <w:r w:rsidRPr="00DB3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на территории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Байкаловского муниципального района</w:t>
            </w:r>
            <w:r w:rsidRPr="00DB34B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vMerge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883AED" w:rsidRPr="00FC3BE5" w:rsidRDefault="00883AED" w:rsidP="00883AED">
            <w:pPr>
              <w:ind w:left="12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ММО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МВД России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Байкаловский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</w:t>
            </w:r>
          </w:p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Байкаловского муниципального района</w:t>
            </w:r>
          </w:p>
        </w:tc>
      </w:tr>
      <w:tr w:rsidR="00883AED" w:rsidTr="00883AED">
        <w:tc>
          <w:tcPr>
            <w:tcW w:w="988" w:type="dxa"/>
          </w:tcPr>
          <w:p w:rsidR="00883AED" w:rsidRDefault="00883AED" w:rsidP="00EA3D4F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EA3D4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 исп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олнении протокольных поручений М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ежведомственной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комиссии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профилактике экстремизма в Свердловской области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ежведомственной комиссии 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противодействию экстремизму и этносепаратизму  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409" w:type="dxa"/>
            <w:vMerge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883AED" w:rsidRDefault="00883AED" w:rsidP="00883AED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EA3D4F" w:rsidTr="00883AED">
        <w:tc>
          <w:tcPr>
            <w:tcW w:w="988" w:type="dxa"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670" w:type="dxa"/>
          </w:tcPr>
          <w:p w:rsidR="00EA3D4F" w:rsidRPr="00FC3BE5" w:rsidRDefault="00EA3D4F" w:rsidP="00883AED">
            <w:pPr>
              <w:spacing w:line="195" w:lineRule="atLeast"/>
              <w:ind w:left="66" w:right="4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реализации мер по выявлению незаконной миграции на территории 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Байкаловского муниципального района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профилактике правонарушений среди данной категории лиц.</w:t>
            </w:r>
          </w:p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EA3D4F" w:rsidRPr="00EA3D4F" w:rsidRDefault="00EA3D4F" w:rsidP="00EA3D4F">
            <w:pPr>
              <w:jc w:val="center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A3D4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EA3D4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квартал 2026</w:t>
            </w: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A3D4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года</w:t>
            </w:r>
          </w:p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ММО 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МВД России «Байкаловский»</w:t>
            </w:r>
          </w:p>
        </w:tc>
      </w:tr>
      <w:tr w:rsidR="00EA3D4F" w:rsidTr="00EA3D4F">
        <w:trPr>
          <w:trHeight w:val="973"/>
        </w:trPr>
        <w:tc>
          <w:tcPr>
            <w:tcW w:w="988" w:type="dxa"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670" w:type="dxa"/>
          </w:tcPr>
          <w:p w:rsidR="00EA3D4F" w:rsidRDefault="00EA3D4F" w:rsidP="00EA3D4F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 организации социокультурной адаптации детей мигрантов.</w:t>
            </w:r>
          </w:p>
        </w:tc>
        <w:tc>
          <w:tcPr>
            <w:tcW w:w="2409" w:type="dxa"/>
            <w:vMerge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EA3D4F" w:rsidRDefault="00EA3D4F" w:rsidP="00EA3D4F">
            <w:pPr>
              <w:spacing w:line="195" w:lineRule="atLeast"/>
              <w:ind w:left="12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«Комитет физической культуры и спорта Байкаловского муниципального района»</w:t>
            </w:r>
          </w:p>
        </w:tc>
      </w:tr>
      <w:tr w:rsidR="00EA3D4F" w:rsidTr="00883AED">
        <w:tc>
          <w:tcPr>
            <w:tcW w:w="988" w:type="dxa"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670" w:type="dxa"/>
          </w:tcPr>
          <w:p w:rsidR="00EA3D4F" w:rsidRDefault="00EA3D4F" w:rsidP="00EA3D4F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итогах деятельности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ежведомственной комиссии </w:t>
            </w:r>
            <w:r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противодействию экстремизму и этносепаратизму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 w:rsidRPr="00AB4AE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Байкаловском муниципальном районе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2026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409" w:type="dxa"/>
            <w:vMerge w:val="restart"/>
          </w:tcPr>
          <w:p w:rsidR="00EA3D4F" w:rsidRPr="00EA3D4F" w:rsidRDefault="00EA3D4F" w:rsidP="00EA3D4F">
            <w:pPr>
              <w:jc w:val="center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EA3D4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EA3D4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квартал 2026 года</w:t>
            </w:r>
          </w:p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EA3D4F" w:rsidTr="00883AED">
        <w:tc>
          <w:tcPr>
            <w:tcW w:w="988" w:type="dxa"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670" w:type="dxa"/>
          </w:tcPr>
          <w:p w:rsidR="00EA3D4F" w:rsidRDefault="00EA3D4F" w:rsidP="00EA3D4F">
            <w:pPr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 утверждении Плана работы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ежведомственной комиссии </w:t>
            </w:r>
            <w:r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противодействию экстремизму и этносепаратизму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Байкаловском муниципальном районе на 2027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409" w:type="dxa"/>
            <w:vMerge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EA3D4F" w:rsidRDefault="00EA3D4F" w:rsidP="00883AED">
            <w:pPr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</w:tbl>
    <w:p w:rsidR="00883AED" w:rsidRPr="00FC3BE5" w:rsidRDefault="00883AED" w:rsidP="002A34B2">
      <w:pPr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2A34B2" w:rsidRPr="00FC3BE5" w:rsidRDefault="002A34B2" w:rsidP="002A34B2">
      <w:pPr>
        <w:spacing w:after="0" w:line="240" w:lineRule="auto"/>
        <w:jc w:val="center"/>
        <w:outlineLvl w:val="1"/>
        <w:rPr>
          <w:rFonts w:ascii="Liberation Serif" w:eastAsia="Times New Roman" w:hAnsi="Liberation Serif" w:cs="Arial"/>
          <w:color w:val="5C6B79"/>
          <w:sz w:val="24"/>
          <w:szCs w:val="24"/>
          <w:lang w:eastAsia="ru-RU"/>
        </w:rPr>
      </w:pPr>
    </w:p>
    <w:tbl>
      <w:tblPr>
        <w:tblW w:w="14737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4230"/>
      </w:tblGrid>
      <w:tr w:rsidR="0009609D" w:rsidRPr="00FC3BE5" w:rsidTr="00EA3D4F">
        <w:trPr>
          <w:trHeight w:val="390"/>
          <w:tblCellSpacing w:w="6" w:type="dxa"/>
        </w:trPr>
        <w:tc>
          <w:tcPr>
            <w:tcW w:w="489" w:type="dxa"/>
            <w:hideMark/>
          </w:tcPr>
          <w:p w:rsidR="0009609D" w:rsidRPr="00FC3BE5" w:rsidRDefault="0009609D" w:rsidP="007B4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14212" w:type="dxa"/>
            <w:hideMark/>
          </w:tcPr>
          <w:p w:rsidR="0009609D" w:rsidRPr="00FC3BE5" w:rsidRDefault="0009609D" w:rsidP="00E92CF0">
            <w:pPr>
              <w:spacing w:after="0" w:line="240" w:lineRule="auto"/>
              <w:ind w:left="66" w:right="114"/>
              <w:jc w:val="both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ПРИМЕЧАНИЕ: </w:t>
            </w:r>
          </w:p>
          <w:p w:rsidR="0009609D" w:rsidRPr="00FC3BE5" w:rsidRDefault="0009609D" w:rsidP="00EA3D4F">
            <w:pPr>
              <w:spacing w:after="0" w:line="240" w:lineRule="auto"/>
              <w:ind w:left="66" w:right="114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решению председателя </w:t>
            </w:r>
            <w:r w:rsid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ежведомственной комиссии </w:t>
            </w:r>
            <w:r w:rsidR="006E0283"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противодействию экстремизму и </w:t>
            </w:r>
            <w:proofErr w:type="gramStart"/>
            <w:r w:rsidR="006E0283" w:rsidRP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этносепаратизму  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61A70"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E02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Байкаловском муниципальном районе</w:t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перечень вопросов для рассмотрения на заседаниях может быть изменен;</w:t>
            </w:r>
          </w:p>
          <w:p w:rsidR="0009609D" w:rsidRPr="00FC3BE5" w:rsidRDefault="0009609D" w:rsidP="00EA3D4F">
            <w:pPr>
              <w:spacing w:after="0" w:line="240" w:lineRule="auto"/>
              <w:ind w:left="66" w:right="114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на каждом заседании комиссии уточняется повестка очередного совещания;</w:t>
            </w:r>
          </w:p>
          <w:p w:rsidR="0009609D" w:rsidRPr="00FC3BE5" w:rsidRDefault="0009609D" w:rsidP="00EA3D4F">
            <w:pPr>
              <w:spacing w:after="0" w:line="240" w:lineRule="auto"/>
              <w:ind w:left="66" w:right="114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предложения по изменению плана работы комиссии вносятся на заседании комиссии;</w:t>
            </w:r>
          </w:p>
          <w:p w:rsidR="0009609D" w:rsidRPr="00FC3BE5" w:rsidRDefault="0009609D" w:rsidP="00EA3D4F">
            <w:pPr>
              <w:spacing w:after="0" w:line="240" w:lineRule="auto"/>
              <w:ind w:left="66" w:right="114" w:firstLine="42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план подлежит корректировке в случае изменения федерального законодательства </w:t>
            </w:r>
            <w:r w:rsidR="00561A70"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противодействию экстремизму, а также в случае поступления рекомендаций из федеральных органов государственной исполнительной власти Российской Федерации, Свердловской области, Межведомственной комиссии по профилактике экстремизма </w:t>
            </w:r>
            <w:r w:rsidR="00561A70"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Свердловской области</w:t>
            </w:r>
            <w:r w:rsidR="00695FBF" w:rsidRPr="00FC3B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A34B2" w:rsidRDefault="002A34B2" w:rsidP="002A34B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B34B8" w:rsidRDefault="00DB34B8" w:rsidP="002A34B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B34B8" w:rsidRPr="00FC3BE5" w:rsidRDefault="00DB34B8" w:rsidP="002A34B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E0283" w:rsidRPr="00FC3BE5" w:rsidRDefault="00DA5F8C" w:rsidP="006E028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Главный специалист 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организационного 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отдела </w:t>
      </w:r>
    </w:p>
    <w:p w:rsidR="00DA5F8C" w:rsidRPr="00FC3BE5" w:rsidRDefault="006E0283" w:rsidP="002A34B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DA5F8C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дминистрации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Байкаловского муниципального района,</w:t>
      </w:r>
    </w:p>
    <w:p w:rsidR="002A34B2" w:rsidRPr="00FC3BE5" w:rsidRDefault="00DA5F8C" w:rsidP="002A34B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>с</w:t>
      </w:r>
      <w:r w:rsidR="00295D38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екретарь 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2A34B2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ежведомственной комиссии </w:t>
      </w:r>
    </w:p>
    <w:p w:rsidR="006E0283" w:rsidRDefault="00DA5F8C" w:rsidP="006E028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противодействию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экстремизм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 и этносепаратизму 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2A34B2" w:rsidRPr="00FC3BE5" w:rsidRDefault="002A34B2" w:rsidP="006E0283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>Байкаловском муниципальном районе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295D38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</w:t>
      </w:r>
      <w:r w:rsidR="00EA3D4F" w:rsidRPr="00EA3D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Н.В. Чащина</w:t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DA5F8C" w:rsidRPr="00FC3B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</w:t>
      </w:r>
      <w:r w:rsidR="00E0137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</w:t>
      </w:r>
      <w:r w:rsidR="006E02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2A34B2" w:rsidRPr="002A34B2" w:rsidRDefault="002A34B2" w:rsidP="002A34B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A34B2" w:rsidRPr="002A34B2" w:rsidRDefault="002A34B2" w:rsidP="002A34B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A34B2" w:rsidRPr="002A34B2" w:rsidRDefault="002A34B2" w:rsidP="002A34B2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2A34B2" w:rsidRPr="002A34B2" w:rsidSect="00883AED">
      <w:pgSz w:w="16838" w:h="11906" w:orient="landscape"/>
      <w:pgMar w:top="993" w:right="851" w:bottom="70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B2"/>
    <w:rsid w:val="00001C88"/>
    <w:rsid w:val="00024A39"/>
    <w:rsid w:val="00025C56"/>
    <w:rsid w:val="00026912"/>
    <w:rsid w:val="0009609D"/>
    <w:rsid w:val="000B5F17"/>
    <w:rsid w:val="00131D3F"/>
    <w:rsid w:val="00173788"/>
    <w:rsid w:val="001C3033"/>
    <w:rsid w:val="0022000E"/>
    <w:rsid w:val="002254D7"/>
    <w:rsid w:val="00266DE5"/>
    <w:rsid w:val="00294E6D"/>
    <w:rsid w:val="00295D38"/>
    <w:rsid w:val="002A34B2"/>
    <w:rsid w:val="002D5444"/>
    <w:rsid w:val="00367985"/>
    <w:rsid w:val="003B75D8"/>
    <w:rsid w:val="00433275"/>
    <w:rsid w:val="004660FF"/>
    <w:rsid w:val="004A7B75"/>
    <w:rsid w:val="004E1E1A"/>
    <w:rsid w:val="005233D8"/>
    <w:rsid w:val="005618D5"/>
    <w:rsid w:val="00561A70"/>
    <w:rsid w:val="005B478D"/>
    <w:rsid w:val="005C5F76"/>
    <w:rsid w:val="00605BBF"/>
    <w:rsid w:val="00612EF3"/>
    <w:rsid w:val="00657BED"/>
    <w:rsid w:val="006608DE"/>
    <w:rsid w:val="00664732"/>
    <w:rsid w:val="00680DAA"/>
    <w:rsid w:val="00695FBF"/>
    <w:rsid w:val="006B70A7"/>
    <w:rsid w:val="006E0283"/>
    <w:rsid w:val="00762577"/>
    <w:rsid w:val="007B44AD"/>
    <w:rsid w:val="008110AF"/>
    <w:rsid w:val="00877A85"/>
    <w:rsid w:val="00883AED"/>
    <w:rsid w:val="008D4A4A"/>
    <w:rsid w:val="008D772B"/>
    <w:rsid w:val="008E68CD"/>
    <w:rsid w:val="00932B6E"/>
    <w:rsid w:val="009752EC"/>
    <w:rsid w:val="009C175D"/>
    <w:rsid w:val="00A82389"/>
    <w:rsid w:val="00A8686F"/>
    <w:rsid w:val="00AA3B1C"/>
    <w:rsid w:val="00AB4AE4"/>
    <w:rsid w:val="00B01865"/>
    <w:rsid w:val="00B641CC"/>
    <w:rsid w:val="00C110C3"/>
    <w:rsid w:val="00C67EC5"/>
    <w:rsid w:val="00C72F69"/>
    <w:rsid w:val="00C96CAA"/>
    <w:rsid w:val="00CB6F47"/>
    <w:rsid w:val="00CF7CCC"/>
    <w:rsid w:val="00D215E2"/>
    <w:rsid w:val="00D4284D"/>
    <w:rsid w:val="00D612E5"/>
    <w:rsid w:val="00DA5F8C"/>
    <w:rsid w:val="00DB34B8"/>
    <w:rsid w:val="00DB3767"/>
    <w:rsid w:val="00E01371"/>
    <w:rsid w:val="00E1725D"/>
    <w:rsid w:val="00E2063E"/>
    <w:rsid w:val="00E270A4"/>
    <w:rsid w:val="00E47774"/>
    <w:rsid w:val="00E56D95"/>
    <w:rsid w:val="00E92CF0"/>
    <w:rsid w:val="00EA3D4F"/>
    <w:rsid w:val="00EA660B"/>
    <w:rsid w:val="00EC653A"/>
    <w:rsid w:val="00ED7E16"/>
    <w:rsid w:val="00F242D1"/>
    <w:rsid w:val="00F71156"/>
    <w:rsid w:val="00FC3BE5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BAB"/>
  <w15:docId w15:val="{212DCB6A-E291-4E49-91FF-3C43B945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7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6287-8993-4B05-93A7-B3DEC301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Е.П.</dc:creator>
  <cp:lastModifiedBy>RePack by Diakov</cp:lastModifiedBy>
  <cp:revision>4</cp:revision>
  <cp:lastPrinted>2026-03-25T05:05:00Z</cp:lastPrinted>
  <dcterms:created xsi:type="dcterms:W3CDTF">2026-03-24T08:09:00Z</dcterms:created>
  <dcterms:modified xsi:type="dcterms:W3CDTF">2026-03-25T05:06:00Z</dcterms:modified>
</cp:coreProperties>
</file>